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1CFF6" w14:textId="2DD2567D" w:rsidR="00037EFA" w:rsidRDefault="00037EFA">
      <w:r>
        <w:rPr>
          <w:rFonts w:cstheme="minorHAnsi"/>
          <w:b/>
          <w:bCs/>
          <w:noProof/>
        </w:rPr>
        <w:drawing>
          <wp:inline distT="0" distB="0" distL="0" distR="0" wp14:anchorId="794CC04A" wp14:editId="1079D0A5">
            <wp:extent cx="8068544" cy="5368290"/>
            <wp:effectExtent l="0" t="0" r="8890" b="3810"/>
            <wp:docPr id="77098394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83946" name="Attēls 77098394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2354" cy="537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EFA" w:rsidSect="00037EFA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614D6" w14:textId="77777777" w:rsidR="00037EFA" w:rsidRDefault="00037EFA" w:rsidP="00037EFA">
      <w:pPr>
        <w:spacing w:after="0" w:line="240" w:lineRule="auto"/>
      </w:pPr>
      <w:r>
        <w:separator/>
      </w:r>
    </w:p>
  </w:endnote>
  <w:endnote w:type="continuationSeparator" w:id="0">
    <w:p w14:paraId="5031E434" w14:textId="77777777" w:rsidR="00037EFA" w:rsidRDefault="00037EFA" w:rsidP="00037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C18C2" w14:textId="77777777" w:rsidR="00037EFA" w:rsidRDefault="00037EFA" w:rsidP="00037EFA">
      <w:pPr>
        <w:spacing w:after="0" w:line="240" w:lineRule="auto"/>
      </w:pPr>
      <w:r>
        <w:separator/>
      </w:r>
    </w:p>
  </w:footnote>
  <w:footnote w:type="continuationSeparator" w:id="0">
    <w:p w14:paraId="7C68EDA7" w14:textId="77777777" w:rsidR="00037EFA" w:rsidRDefault="00037EFA" w:rsidP="00037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00BFD" w14:textId="77777777" w:rsidR="00037EFA" w:rsidRPr="00B4379F" w:rsidRDefault="00037EFA" w:rsidP="00037EFA">
    <w:pPr>
      <w:ind w:left="1260"/>
      <w:jc w:val="center"/>
      <w:rPr>
        <w:rFonts w:cstheme="minorHAnsi"/>
        <w:b/>
        <w:bCs/>
      </w:rPr>
    </w:pPr>
    <w:r>
      <w:rPr>
        <w:rFonts w:cstheme="minorHAnsi"/>
        <w:b/>
        <w:bCs/>
      </w:rPr>
      <w:t>Nomas objekta izvietojuma s</w:t>
    </w:r>
    <w:r w:rsidRPr="00B4379F">
      <w:rPr>
        <w:rFonts w:cstheme="minorHAnsi"/>
        <w:b/>
        <w:bCs/>
      </w:rPr>
      <w:t xml:space="preserve">hēma  </w:t>
    </w:r>
    <w:r w:rsidRPr="00B4379F">
      <w:rPr>
        <w:rFonts w:cstheme="minorHAnsi"/>
      </w:rPr>
      <w:t xml:space="preserve">– </w:t>
    </w:r>
    <w:r>
      <w:rPr>
        <w:rFonts w:cstheme="minorHAnsi"/>
      </w:rPr>
      <w:t>Cīrulīšu iela 72</w:t>
    </w:r>
    <w:r w:rsidRPr="00B4379F">
      <w:rPr>
        <w:rFonts w:cstheme="minorHAnsi"/>
      </w:rPr>
      <w:t xml:space="preserve">, Cēsis, Cēsu novads, kadastra numurs 4201 </w:t>
    </w:r>
    <w:r>
      <w:rPr>
        <w:rFonts w:cstheme="minorHAnsi"/>
      </w:rPr>
      <w:t>007 0227</w:t>
    </w:r>
  </w:p>
  <w:p w14:paraId="7D93EE67" w14:textId="77777777" w:rsidR="00037EFA" w:rsidRDefault="00037EFA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EFA"/>
    <w:rsid w:val="00037EFA"/>
    <w:rsid w:val="007B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CB21B"/>
  <w15:chartTrackingRefBased/>
  <w15:docId w15:val="{388850D6-0581-4A8D-B2CB-0E760F554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037E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037E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037E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037E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037E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037E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037E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037E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037E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037E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037E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037E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037EFA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037EFA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037EFA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037EFA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037EFA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037EFA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037E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037E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037E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037E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037E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037EFA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037EFA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037EFA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037E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037EFA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037EFA"/>
    <w:rPr>
      <w:b/>
      <w:bCs/>
      <w:smallCaps/>
      <w:color w:val="2F5496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037E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037EFA"/>
  </w:style>
  <w:style w:type="paragraph" w:styleId="Kjene">
    <w:name w:val="footer"/>
    <w:basedOn w:val="Parasts"/>
    <w:link w:val="KjeneRakstz"/>
    <w:uiPriority w:val="99"/>
    <w:unhideWhenUsed/>
    <w:rsid w:val="00037E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037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 Smiltniece</dc:creator>
  <cp:keywords/>
  <dc:description/>
  <cp:lastModifiedBy>Santa Smiltniece</cp:lastModifiedBy>
  <cp:revision>1</cp:revision>
  <dcterms:created xsi:type="dcterms:W3CDTF">2025-02-05T06:37:00Z</dcterms:created>
  <dcterms:modified xsi:type="dcterms:W3CDTF">2025-02-05T06:37:00Z</dcterms:modified>
</cp:coreProperties>
</file>