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62B12" w14:textId="77777777" w:rsidR="004F60F7" w:rsidRDefault="3905C4DA" w:rsidP="004F60F7">
      <w:pPr>
        <w:jc w:val="center"/>
        <w:rPr>
          <w:sz w:val="24"/>
          <w:szCs w:val="24"/>
        </w:rPr>
      </w:pPr>
      <w:r w:rsidRPr="004F60F7">
        <w:rPr>
          <w:sz w:val="24"/>
          <w:szCs w:val="24"/>
        </w:rPr>
        <w:t>Paskaidrojuma raksts saistošajiem noteikumiem</w:t>
      </w:r>
      <w:r w:rsidR="1604760A" w:rsidRPr="004F60F7">
        <w:rPr>
          <w:sz w:val="24"/>
          <w:szCs w:val="24"/>
        </w:rPr>
        <w:t xml:space="preserve"> </w:t>
      </w:r>
    </w:p>
    <w:p w14:paraId="553EE374" w14:textId="356FF852" w:rsidR="3905C4DA" w:rsidRDefault="3905C4DA" w:rsidP="004F60F7">
      <w:pPr>
        <w:jc w:val="center"/>
        <w:rPr>
          <w:sz w:val="24"/>
          <w:szCs w:val="24"/>
        </w:rPr>
      </w:pPr>
      <w:r w:rsidRPr="004F60F7">
        <w:rPr>
          <w:sz w:val="24"/>
          <w:szCs w:val="24"/>
        </w:rPr>
        <w:t>“</w:t>
      </w:r>
      <w:r w:rsidR="696D712A" w:rsidRPr="004F60F7">
        <w:rPr>
          <w:rFonts w:ascii="Calibri" w:eastAsia="Calibri" w:hAnsi="Calibri" w:cs="Calibri"/>
          <w:b/>
          <w:bCs/>
          <w:color w:val="000000" w:themeColor="text1"/>
          <w:sz w:val="24"/>
          <w:szCs w:val="24"/>
        </w:rPr>
        <w:t>Par azartspēļu organizēšanu Cēsu novadā</w:t>
      </w:r>
      <w:r w:rsidRPr="004F60F7">
        <w:rPr>
          <w:sz w:val="24"/>
          <w:szCs w:val="24"/>
        </w:rPr>
        <w:t>”</w:t>
      </w:r>
    </w:p>
    <w:p w14:paraId="2024D173" w14:textId="77777777" w:rsidR="004F60F7" w:rsidRPr="004F60F7" w:rsidRDefault="004F60F7" w:rsidP="004F60F7">
      <w:pPr>
        <w:jc w:val="center"/>
        <w:rPr>
          <w:sz w:val="24"/>
          <w:szCs w:val="24"/>
        </w:rPr>
      </w:pPr>
    </w:p>
    <w:tbl>
      <w:tblPr>
        <w:tblStyle w:val="TableGrid"/>
        <w:tblW w:w="8296" w:type="dxa"/>
        <w:tblLook w:val="04A0" w:firstRow="1" w:lastRow="0" w:firstColumn="1" w:lastColumn="0" w:noHBand="0" w:noVBand="1"/>
      </w:tblPr>
      <w:tblGrid>
        <w:gridCol w:w="2025"/>
        <w:gridCol w:w="6271"/>
      </w:tblGrid>
      <w:tr w:rsidR="00E94B74" w:rsidRPr="00F615D1" w14:paraId="7FFEF465" w14:textId="77777777" w:rsidTr="76563852">
        <w:tc>
          <w:tcPr>
            <w:tcW w:w="2025" w:type="dxa"/>
          </w:tcPr>
          <w:p w14:paraId="69EBCDF3" w14:textId="0FFF7997" w:rsidR="00E94B74" w:rsidRPr="00F615D1" w:rsidRDefault="00E94B74">
            <w:pPr>
              <w:rPr>
                <w:b/>
                <w:bCs/>
              </w:rPr>
            </w:pPr>
            <w:r w:rsidRPr="00F615D1">
              <w:rPr>
                <w:b/>
                <w:bCs/>
              </w:rPr>
              <w:t>Paskaidrojuma raksta sadaļa</w:t>
            </w:r>
          </w:p>
        </w:tc>
        <w:tc>
          <w:tcPr>
            <w:tcW w:w="6271" w:type="dxa"/>
          </w:tcPr>
          <w:p w14:paraId="1648C01E" w14:textId="6004E5A8" w:rsidR="00E94B74" w:rsidRPr="00F615D1" w:rsidRDefault="00E94B74">
            <w:pPr>
              <w:rPr>
                <w:b/>
                <w:bCs/>
              </w:rPr>
            </w:pPr>
            <w:r w:rsidRPr="00F615D1">
              <w:rPr>
                <w:b/>
                <w:bCs/>
              </w:rPr>
              <w:t>Norādāmā informācija</w:t>
            </w:r>
          </w:p>
        </w:tc>
      </w:tr>
      <w:tr w:rsidR="00E94B74" w14:paraId="21B24CE6" w14:textId="77777777" w:rsidTr="76563852">
        <w:tc>
          <w:tcPr>
            <w:tcW w:w="2025" w:type="dxa"/>
          </w:tcPr>
          <w:p w14:paraId="72F2BB0D" w14:textId="3D3CC3C0" w:rsidR="00E94B74" w:rsidRDefault="00E94B74">
            <w:r>
              <w:t>1. Mērķis un nepieciešamības pamatojums</w:t>
            </w:r>
          </w:p>
        </w:tc>
        <w:tc>
          <w:tcPr>
            <w:tcW w:w="6271" w:type="dxa"/>
          </w:tcPr>
          <w:p w14:paraId="784E1FE5" w14:textId="72AEA0C0" w:rsidR="00E94B74" w:rsidRDefault="3905C4DA" w:rsidP="76563852">
            <w:pPr>
              <w:jc w:val="both"/>
            </w:pPr>
            <w:r>
              <w:t>Saistošo noteikumu mērķis ir</w:t>
            </w:r>
            <w:r w:rsidR="69BF44FC">
              <w:t>:</w:t>
            </w:r>
          </w:p>
          <w:p w14:paraId="3D4E83F8" w14:textId="570489D8" w:rsidR="007C1835" w:rsidRDefault="3905C4DA" w:rsidP="007C1835">
            <w:pPr>
              <w:pStyle w:val="ListParagraph"/>
              <w:numPr>
                <w:ilvl w:val="0"/>
                <w:numId w:val="8"/>
              </w:numPr>
              <w:jc w:val="both"/>
            </w:pPr>
            <w:r>
              <w:t>mazināt azartspēļu atkarības riskus</w:t>
            </w:r>
            <w:r w:rsidR="6FFBF2FB">
              <w:t xml:space="preserve"> Cēsīs</w:t>
            </w:r>
            <w:r w:rsidR="5028F90F">
              <w:t>;</w:t>
            </w:r>
          </w:p>
          <w:p w14:paraId="0F96EDDD" w14:textId="64E27859" w:rsidR="00E94B74" w:rsidRDefault="212E94D0" w:rsidP="007C1835">
            <w:pPr>
              <w:pStyle w:val="ListParagraph"/>
              <w:numPr>
                <w:ilvl w:val="0"/>
                <w:numId w:val="8"/>
              </w:numPr>
              <w:jc w:val="both"/>
            </w:pPr>
            <w:r>
              <w:t>uzlabot sabiedrisko kārtību un drošību pilsētā;</w:t>
            </w:r>
          </w:p>
          <w:p w14:paraId="423DF353" w14:textId="4A411194" w:rsidR="00E94B74" w:rsidRDefault="3905C4DA" w:rsidP="007C1835">
            <w:pPr>
              <w:pStyle w:val="ListParagraph"/>
              <w:numPr>
                <w:ilvl w:val="0"/>
                <w:numId w:val="8"/>
              </w:numPr>
              <w:jc w:val="both"/>
            </w:pPr>
            <w:r>
              <w:t xml:space="preserve">veicināt Cēsu </w:t>
            </w:r>
            <w:r w:rsidR="616AFC73">
              <w:t>kā tūrisma galamērķ</w:t>
            </w:r>
            <w:r w:rsidR="3F250A56">
              <w:t>a</w:t>
            </w:r>
            <w:r w:rsidR="616AFC73">
              <w:t xml:space="preserve"> pievilcību</w:t>
            </w:r>
            <w:r w:rsidR="49590E8F">
              <w:t xml:space="preserve"> Cēsu novada tūrisma attīstības stratēģijas noteiktajām mērķa auditorijām</w:t>
            </w:r>
            <w:r w:rsidR="0ECA1470">
              <w:t>, tai skaitā</w:t>
            </w:r>
            <w:r w:rsidR="49590E8F">
              <w:t xml:space="preserve"> ģimenēm ar bērniem</w:t>
            </w:r>
            <w:r w:rsidR="0ECA1470">
              <w:t xml:space="preserve"> un</w:t>
            </w:r>
            <w:r w:rsidR="49590E8F">
              <w:t xml:space="preserve"> kultūras tūristiem</w:t>
            </w:r>
            <w:r w:rsidR="2E004134">
              <w:t>.</w:t>
            </w:r>
          </w:p>
          <w:p w14:paraId="5BCD5BD6" w14:textId="77777777" w:rsidR="008E6B79" w:rsidRDefault="008E6B79" w:rsidP="76563852">
            <w:pPr>
              <w:ind w:left="720"/>
              <w:jc w:val="both"/>
            </w:pPr>
          </w:p>
          <w:p w14:paraId="06B4631F" w14:textId="794B380B" w:rsidR="00422796" w:rsidRDefault="5898FA5A" w:rsidP="76563852">
            <w:pPr>
              <w:jc w:val="both"/>
              <w:rPr>
                <w:color w:val="000000" w:themeColor="text1"/>
              </w:rPr>
            </w:pPr>
            <w:r w:rsidRPr="76563852">
              <w:rPr>
                <w:rFonts w:ascii="Calibri" w:eastAsia="Calibri" w:hAnsi="Calibri" w:cs="Calibri"/>
                <w:color w:val="000000" w:themeColor="text1"/>
              </w:rPr>
              <w:t xml:space="preserve">Lai sasniegtu izvirzītos mērķus, </w:t>
            </w:r>
            <w:r w:rsidR="2B8CB49A" w:rsidRPr="76563852">
              <w:rPr>
                <w:color w:val="000000" w:themeColor="text1"/>
              </w:rPr>
              <w:t xml:space="preserve">pašvaldība nosaka, ka </w:t>
            </w:r>
            <w:r w:rsidR="00A10791" w:rsidRPr="76563852">
              <w:rPr>
                <w:color w:val="000000" w:themeColor="text1"/>
              </w:rPr>
              <w:t>nav atļaut</w:t>
            </w:r>
            <w:r w:rsidR="007D5150">
              <w:rPr>
                <w:color w:val="000000" w:themeColor="text1"/>
              </w:rPr>
              <w:t>s</w:t>
            </w:r>
            <w:r w:rsidR="00A10791" w:rsidRPr="76563852">
              <w:rPr>
                <w:color w:val="000000" w:themeColor="text1"/>
              </w:rPr>
              <w:t xml:space="preserve"> </w:t>
            </w:r>
            <w:r w:rsidR="007D5150">
              <w:rPr>
                <w:color w:val="000000" w:themeColor="text1"/>
              </w:rPr>
              <w:t xml:space="preserve">izvietot </w:t>
            </w:r>
            <w:r w:rsidR="00A10791" w:rsidRPr="76563852">
              <w:rPr>
                <w:color w:val="000000" w:themeColor="text1"/>
              </w:rPr>
              <w:t>azartspēļu zā</w:t>
            </w:r>
            <w:r w:rsidR="008243F4">
              <w:rPr>
                <w:color w:val="000000" w:themeColor="text1"/>
              </w:rPr>
              <w:t>les</w:t>
            </w:r>
            <w:r w:rsidR="00422796">
              <w:rPr>
                <w:color w:val="000000" w:themeColor="text1"/>
              </w:rPr>
              <w:t>:</w:t>
            </w:r>
          </w:p>
          <w:p w14:paraId="696DFE5E" w14:textId="6C30B272" w:rsidR="00F16BD0" w:rsidRPr="00F16BD0" w:rsidRDefault="05E7C63C" w:rsidP="00F16BD0">
            <w:pPr>
              <w:pStyle w:val="ListParagraph"/>
              <w:numPr>
                <w:ilvl w:val="0"/>
                <w:numId w:val="6"/>
              </w:numPr>
              <w:jc w:val="both"/>
              <w:rPr>
                <w:color w:val="000000" w:themeColor="text1"/>
              </w:rPr>
            </w:pPr>
            <w:r w:rsidRPr="00F16BD0">
              <w:rPr>
                <w:color w:val="000000" w:themeColor="text1"/>
              </w:rPr>
              <w:t xml:space="preserve">Cēsu </w:t>
            </w:r>
            <w:r w:rsidR="37E5F312" w:rsidRPr="00F16BD0">
              <w:rPr>
                <w:color w:val="000000" w:themeColor="text1"/>
              </w:rPr>
              <w:t>pilsētas vēsturisk</w:t>
            </w:r>
            <w:r w:rsidR="003E085B" w:rsidRPr="00F16BD0">
              <w:rPr>
                <w:color w:val="000000" w:themeColor="text1"/>
              </w:rPr>
              <w:t>ajā</w:t>
            </w:r>
            <w:r w:rsidR="37E5F312" w:rsidRPr="00F16BD0">
              <w:rPr>
                <w:color w:val="000000" w:themeColor="text1"/>
              </w:rPr>
              <w:t xml:space="preserve"> centr</w:t>
            </w:r>
            <w:r w:rsidR="1EE5351C" w:rsidRPr="00F16BD0">
              <w:rPr>
                <w:color w:val="000000" w:themeColor="text1"/>
              </w:rPr>
              <w:t>ā</w:t>
            </w:r>
            <w:r w:rsidRPr="00F16BD0">
              <w:rPr>
                <w:color w:val="000000" w:themeColor="text1"/>
              </w:rPr>
              <w:t xml:space="preserve">, </w:t>
            </w:r>
            <w:r w:rsidRPr="00F16BD0">
              <w:rPr>
                <w:rFonts w:ascii="Calibri" w:eastAsia="Calibri" w:hAnsi="Calibri" w:cs="Calibri"/>
                <w:color w:val="000000" w:themeColor="text1"/>
              </w:rPr>
              <w:t>valsts nozīmes pilsētbūvniecības pieminekļa teritorij</w:t>
            </w:r>
            <w:r w:rsidR="522CEA15" w:rsidRPr="00F16BD0">
              <w:rPr>
                <w:rFonts w:ascii="Calibri" w:eastAsia="Calibri" w:hAnsi="Calibri" w:cs="Calibri"/>
                <w:color w:val="000000" w:themeColor="text1"/>
              </w:rPr>
              <w:t>ā nr. 7426</w:t>
            </w:r>
            <w:r w:rsidR="00A10791" w:rsidRPr="00F16BD0">
              <w:rPr>
                <w:rFonts w:ascii="Calibri" w:eastAsia="Calibri" w:hAnsi="Calibri" w:cs="Calibri"/>
                <w:color w:val="000000" w:themeColor="text1"/>
              </w:rPr>
              <w:t>,</w:t>
            </w:r>
            <w:r w:rsidR="00F16BD0" w:rsidRPr="00F16BD0">
              <w:rPr>
                <w:rFonts w:ascii="Calibri" w:eastAsia="Calibri" w:hAnsi="Calibri" w:cs="Calibri"/>
                <w:color w:val="000000" w:themeColor="text1"/>
              </w:rPr>
              <w:t xml:space="preserve"> </w:t>
            </w:r>
            <w:r w:rsidR="2B8CB49A" w:rsidRPr="00F16BD0">
              <w:rPr>
                <w:color w:val="000000" w:themeColor="text1"/>
              </w:rPr>
              <w:t>un t</w:t>
            </w:r>
            <w:r w:rsidR="00120392">
              <w:rPr>
                <w:color w:val="000000" w:themeColor="text1"/>
              </w:rPr>
              <w:t>ā aizsargzonā</w:t>
            </w:r>
            <w:r w:rsidR="2B8CB49A" w:rsidRPr="00F16BD0">
              <w:rPr>
                <w:color w:val="000000" w:themeColor="text1"/>
              </w:rPr>
              <w:t xml:space="preserve"> (skat. pielikumu nr. 1</w:t>
            </w:r>
            <w:r w:rsidR="7C6F9500" w:rsidRPr="00F16BD0">
              <w:rPr>
                <w:color w:val="000000" w:themeColor="text1"/>
              </w:rPr>
              <w:t>.</w:t>
            </w:r>
            <w:r w:rsidR="2B8CB49A" w:rsidRPr="00F16BD0">
              <w:rPr>
                <w:color w:val="000000" w:themeColor="text1"/>
              </w:rPr>
              <w:t xml:space="preserve"> ar precīzu </w:t>
            </w:r>
            <w:r w:rsidR="7DDA7B0D" w:rsidRPr="00F16BD0">
              <w:rPr>
                <w:color w:val="000000" w:themeColor="text1"/>
              </w:rPr>
              <w:t>teritorijas kartējumu</w:t>
            </w:r>
            <w:r w:rsidR="2B8CB49A" w:rsidRPr="00F16BD0">
              <w:rPr>
                <w:color w:val="000000" w:themeColor="text1"/>
              </w:rPr>
              <w:t>)</w:t>
            </w:r>
            <w:r w:rsidR="008016C7">
              <w:rPr>
                <w:color w:val="000000" w:themeColor="text1"/>
              </w:rPr>
              <w:t>;</w:t>
            </w:r>
          </w:p>
          <w:p w14:paraId="7BAA0B0F" w14:textId="186C9C85" w:rsidR="00BF6D81" w:rsidRPr="00F16BD0" w:rsidRDefault="00E2623E" w:rsidP="00F16BD0">
            <w:pPr>
              <w:pStyle w:val="ListParagraph"/>
              <w:numPr>
                <w:ilvl w:val="0"/>
                <w:numId w:val="6"/>
              </w:numPr>
              <w:jc w:val="both"/>
              <w:rPr>
                <w:color w:val="000000" w:themeColor="text1"/>
              </w:rPr>
            </w:pPr>
            <w:r w:rsidRPr="00F16BD0">
              <w:rPr>
                <w:color w:val="000000" w:themeColor="text1"/>
              </w:rPr>
              <w:t xml:space="preserve">250 metru attālumā no </w:t>
            </w:r>
            <w:r w:rsidR="004F1060" w:rsidRPr="00F16BD0">
              <w:rPr>
                <w:rStyle w:val="normaltextrun"/>
                <w:rFonts w:ascii="Calibri" w:hAnsi="Calibri" w:cs="Calibri"/>
                <w:color w:val="000000"/>
                <w:bdr w:val="none" w:sz="0" w:space="0" w:color="auto" w:frame="1"/>
              </w:rPr>
              <w:t>pirmsskolas, pamata un vidējās izglītības iestādēm</w:t>
            </w:r>
            <w:r w:rsidR="2B8CB49A" w:rsidRPr="00F16BD0">
              <w:rPr>
                <w:color w:val="000000" w:themeColor="text1"/>
              </w:rPr>
              <w:t xml:space="preserve"> </w:t>
            </w:r>
            <w:r w:rsidR="00E61FEB" w:rsidRPr="00F16BD0">
              <w:rPr>
                <w:color w:val="000000" w:themeColor="text1"/>
              </w:rPr>
              <w:t>(skat. pielikums nr. 2)</w:t>
            </w:r>
            <w:r w:rsidR="2B8CB49A" w:rsidRPr="00F16BD0">
              <w:rPr>
                <w:color w:val="000000" w:themeColor="text1"/>
              </w:rPr>
              <w:t>.</w:t>
            </w:r>
          </w:p>
          <w:p w14:paraId="03F39558" w14:textId="46D2D542" w:rsidR="00BF6D81" w:rsidRDefault="00BF6D81" w:rsidP="76563852">
            <w:pPr>
              <w:ind w:left="720"/>
              <w:jc w:val="both"/>
              <w:rPr>
                <w:rFonts w:ascii="Calibri" w:eastAsia="Calibri" w:hAnsi="Calibri" w:cs="Calibri"/>
              </w:rPr>
            </w:pPr>
          </w:p>
          <w:p w14:paraId="1C430584" w14:textId="1FB78036" w:rsidR="00BF6D81" w:rsidRDefault="2B8CB49A" w:rsidP="00BD62F0">
            <w:pPr>
              <w:jc w:val="both"/>
            </w:pPr>
            <w:r>
              <w:t>Atbilstoši Azartspēļu un izložu likuma 42. panta 10. daļai, kas paredz pašvaldības tiesības noteikt vietas un teritorijas, kurās ir aizliegts izvietot spēļu zāles, pašvaldība ir izvērtējusi</w:t>
            </w:r>
            <w:r w:rsidR="00BD62F0">
              <w:t xml:space="preserve"> </w:t>
            </w:r>
            <w:r>
              <w:t>vecpilsētas un tai pieguļošās teritorijas specifiskās īpašības</w:t>
            </w:r>
            <w:r w:rsidR="00BD62F0">
              <w:t xml:space="preserve">, kā arī </w:t>
            </w:r>
            <w:r>
              <w:t xml:space="preserve">izglītības un kultūras iestāžu </w:t>
            </w:r>
            <w:r w:rsidR="00D52F55">
              <w:t>atrašanos</w:t>
            </w:r>
            <w:r w:rsidR="001277B7">
              <w:t xml:space="preserve"> Cēsīs</w:t>
            </w:r>
            <w:r w:rsidR="00BD62F0">
              <w:t xml:space="preserve">. </w:t>
            </w:r>
          </w:p>
          <w:p w14:paraId="3971F30D" w14:textId="7268A707" w:rsidR="00BF6D81" w:rsidRDefault="00BF6D81" w:rsidP="76563852">
            <w:pPr>
              <w:ind w:left="720"/>
              <w:jc w:val="both"/>
              <w:rPr>
                <w:rFonts w:ascii="Calibri" w:eastAsia="Calibri" w:hAnsi="Calibri" w:cs="Calibri"/>
              </w:rPr>
            </w:pPr>
          </w:p>
          <w:p w14:paraId="77357074" w14:textId="42A4306F" w:rsidR="00BF6D81" w:rsidRDefault="7094093F" w:rsidP="76563852">
            <w:pPr>
              <w:jc w:val="both"/>
              <w:rPr>
                <w:rFonts w:ascii="Calibri" w:eastAsia="Calibri" w:hAnsi="Calibri" w:cs="Calibri"/>
              </w:rPr>
            </w:pPr>
            <w:r w:rsidRPr="76563852">
              <w:rPr>
                <w:rFonts w:ascii="Calibri" w:eastAsia="Calibri" w:hAnsi="Calibri" w:cs="Calibri"/>
              </w:rPr>
              <w:t xml:space="preserve">Cēsu </w:t>
            </w:r>
            <w:r w:rsidR="00C75C7B">
              <w:rPr>
                <w:rFonts w:ascii="Calibri" w:eastAsia="Calibri" w:hAnsi="Calibri" w:cs="Calibri"/>
              </w:rPr>
              <w:t>vēs</w:t>
            </w:r>
            <w:r w:rsidR="00FB6390">
              <w:rPr>
                <w:rFonts w:ascii="Calibri" w:eastAsia="Calibri" w:hAnsi="Calibri" w:cs="Calibri"/>
              </w:rPr>
              <w:t xml:space="preserve">turiskajā centrā </w:t>
            </w:r>
            <w:r w:rsidR="4B6B5B3A" w:rsidRPr="76563852">
              <w:rPr>
                <w:rFonts w:ascii="Calibri" w:eastAsia="Calibri" w:hAnsi="Calibri" w:cs="Calibri"/>
              </w:rPr>
              <w:t>un t</w:t>
            </w:r>
            <w:r w:rsidR="008243F4">
              <w:rPr>
                <w:rFonts w:ascii="Calibri" w:eastAsia="Calibri" w:hAnsi="Calibri" w:cs="Calibri"/>
              </w:rPr>
              <w:t>ā</w:t>
            </w:r>
            <w:r w:rsidR="00FB6390">
              <w:rPr>
                <w:rFonts w:ascii="Calibri" w:eastAsia="Calibri" w:hAnsi="Calibri" w:cs="Calibri"/>
              </w:rPr>
              <w:t xml:space="preserve"> aizsargzonā</w:t>
            </w:r>
            <w:r w:rsidR="4B6B5B3A" w:rsidRPr="76563852">
              <w:rPr>
                <w:rFonts w:ascii="Calibri" w:eastAsia="Calibri" w:hAnsi="Calibri" w:cs="Calibri"/>
              </w:rPr>
              <w:t xml:space="preserve"> ir izvietoti vairāki </w:t>
            </w:r>
            <w:r w:rsidR="0D825393" w:rsidRPr="76563852">
              <w:rPr>
                <w:rFonts w:ascii="Calibri" w:eastAsia="Calibri" w:hAnsi="Calibri" w:cs="Calibri"/>
              </w:rPr>
              <w:t xml:space="preserve">vēstures un kultūras </w:t>
            </w:r>
            <w:r w:rsidR="4B6B5B3A" w:rsidRPr="76563852">
              <w:rPr>
                <w:rFonts w:ascii="Calibri" w:eastAsia="Calibri" w:hAnsi="Calibri" w:cs="Calibri"/>
              </w:rPr>
              <w:t>tūrisma objekti</w:t>
            </w:r>
            <w:r w:rsidR="3B16F097" w:rsidRPr="76563852">
              <w:rPr>
                <w:rFonts w:ascii="Calibri" w:eastAsia="Calibri" w:hAnsi="Calibri" w:cs="Calibri"/>
              </w:rPr>
              <w:t xml:space="preserve">, kas gada griezumā piesaista </w:t>
            </w:r>
            <w:r w:rsidR="0F55E1A6" w:rsidRPr="76563852">
              <w:rPr>
                <w:rFonts w:ascii="Calibri" w:eastAsia="Calibri" w:hAnsi="Calibri" w:cs="Calibri"/>
              </w:rPr>
              <w:t>vairāk nekā 100 tūkstošus apmeklētāju. Vecpilsētas teritorij</w:t>
            </w:r>
            <w:r w:rsidR="462C9426" w:rsidRPr="76563852">
              <w:rPr>
                <w:rFonts w:ascii="Calibri" w:eastAsia="Calibri" w:hAnsi="Calibri" w:cs="Calibri"/>
              </w:rPr>
              <w:t xml:space="preserve">a tiek piedāvāta pilsētas viesiem un tiek uztverta kā pašvaldības vizītkarte. </w:t>
            </w:r>
            <w:r w:rsidR="0F55E1A6" w:rsidRPr="76563852">
              <w:rPr>
                <w:rFonts w:ascii="Calibri" w:eastAsia="Calibri" w:hAnsi="Calibri" w:cs="Calibri"/>
              </w:rPr>
              <w:t xml:space="preserve"> </w:t>
            </w:r>
          </w:p>
          <w:p w14:paraId="52546842" w14:textId="07EBAB06" w:rsidR="00BF6D81" w:rsidRDefault="00BF6D81" w:rsidP="76563852">
            <w:pPr>
              <w:ind w:left="720"/>
              <w:jc w:val="both"/>
              <w:rPr>
                <w:rFonts w:ascii="Calibri" w:eastAsia="Calibri" w:hAnsi="Calibri" w:cs="Calibri"/>
              </w:rPr>
            </w:pPr>
          </w:p>
          <w:p w14:paraId="4D3478EC" w14:textId="092EAB04" w:rsidR="00BF6D81" w:rsidRDefault="050CFF34" w:rsidP="76563852">
            <w:pPr>
              <w:spacing w:line="259" w:lineRule="auto"/>
              <w:jc w:val="both"/>
              <w:rPr>
                <w:rFonts w:ascii="Calibri" w:eastAsia="Calibri" w:hAnsi="Calibri" w:cs="Calibri"/>
              </w:rPr>
            </w:pPr>
            <w:r w:rsidRPr="76563852">
              <w:rPr>
                <w:rFonts w:ascii="Calibri" w:eastAsia="Calibri" w:hAnsi="Calibri" w:cs="Calibri"/>
              </w:rPr>
              <w:t xml:space="preserve">Azartspēļu zāļu atrašanās līdzās </w:t>
            </w:r>
            <w:r w:rsidR="5A9254D8" w:rsidRPr="76563852">
              <w:rPr>
                <w:rFonts w:ascii="Calibri" w:eastAsia="Calibri" w:hAnsi="Calibri" w:cs="Calibri"/>
              </w:rPr>
              <w:t>vēsturiskā mantojuma objektiem kā arī kultūras un reliģiskajām iestādēm</w:t>
            </w:r>
            <w:r w:rsidRPr="76563852">
              <w:rPr>
                <w:rFonts w:ascii="Calibri" w:eastAsia="Calibri" w:hAnsi="Calibri" w:cs="Calibri"/>
              </w:rPr>
              <w:t xml:space="preserve"> rada konfliktu ar šo iestāžu </w:t>
            </w:r>
            <w:r w:rsidR="002036DE">
              <w:rPr>
                <w:rFonts w:ascii="Calibri" w:eastAsia="Calibri" w:hAnsi="Calibri" w:cs="Calibri"/>
              </w:rPr>
              <w:t>pārstāvētajām</w:t>
            </w:r>
            <w:r w:rsidRPr="76563852">
              <w:rPr>
                <w:rFonts w:ascii="Calibri" w:eastAsia="Calibri" w:hAnsi="Calibri" w:cs="Calibri"/>
              </w:rPr>
              <w:t xml:space="preserve"> vērtībām. Līdz ar to saistošajos noteikumos </w:t>
            </w:r>
            <w:r w:rsidR="3FDF5FF3" w:rsidRPr="76563852">
              <w:rPr>
                <w:rFonts w:ascii="Calibri" w:eastAsia="Calibri" w:hAnsi="Calibri" w:cs="Calibri"/>
              </w:rPr>
              <w:t>tiek</w:t>
            </w:r>
            <w:r w:rsidRPr="76563852">
              <w:rPr>
                <w:rFonts w:ascii="Calibri" w:eastAsia="Calibri" w:hAnsi="Calibri" w:cs="Calibri"/>
              </w:rPr>
              <w:t xml:space="preserve"> ierobežo</w:t>
            </w:r>
            <w:r w:rsidR="38366083" w:rsidRPr="76563852">
              <w:rPr>
                <w:rFonts w:ascii="Calibri" w:eastAsia="Calibri" w:hAnsi="Calibri" w:cs="Calibri"/>
              </w:rPr>
              <w:t>ta</w:t>
            </w:r>
            <w:r w:rsidRPr="76563852">
              <w:rPr>
                <w:rFonts w:ascii="Calibri" w:eastAsia="Calibri" w:hAnsi="Calibri" w:cs="Calibri"/>
              </w:rPr>
              <w:t xml:space="preserve"> azartspēļu zāļu atrašan</w:t>
            </w:r>
            <w:r w:rsidR="374606FC" w:rsidRPr="76563852">
              <w:rPr>
                <w:rFonts w:ascii="Calibri" w:eastAsia="Calibri" w:hAnsi="Calibri" w:cs="Calibri"/>
              </w:rPr>
              <w:t>ā</w:t>
            </w:r>
            <w:r w:rsidRPr="76563852">
              <w:rPr>
                <w:rFonts w:ascii="Calibri" w:eastAsia="Calibri" w:hAnsi="Calibri" w:cs="Calibri"/>
              </w:rPr>
              <w:t xml:space="preserve">s </w:t>
            </w:r>
            <w:r w:rsidR="29FF569C" w:rsidRPr="76563852">
              <w:rPr>
                <w:rFonts w:ascii="Calibri" w:eastAsia="Calibri" w:hAnsi="Calibri" w:cs="Calibri"/>
              </w:rPr>
              <w:t xml:space="preserve">Cēsu </w:t>
            </w:r>
            <w:r w:rsidR="002036DE">
              <w:rPr>
                <w:rFonts w:ascii="Calibri" w:eastAsia="Calibri" w:hAnsi="Calibri" w:cs="Calibri"/>
              </w:rPr>
              <w:t>vēsturiskajā centrā</w:t>
            </w:r>
            <w:r w:rsidR="7EDD5764" w:rsidRPr="76563852">
              <w:rPr>
                <w:rFonts w:ascii="Calibri" w:eastAsia="Calibri" w:hAnsi="Calibri" w:cs="Calibri"/>
              </w:rPr>
              <w:t xml:space="preserve"> un </w:t>
            </w:r>
            <w:r w:rsidR="7EDD5764">
              <w:t>t</w:t>
            </w:r>
            <w:r w:rsidR="002036DE">
              <w:t>ā aizsargzonā</w:t>
            </w:r>
            <w:r w:rsidR="29FF569C" w:rsidRPr="76563852">
              <w:rPr>
                <w:rFonts w:ascii="Calibri" w:eastAsia="Calibri" w:hAnsi="Calibri" w:cs="Calibri"/>
              </w:rPr>
              <w:t xml:space="preserve">, kurā blīvi izvietoti tūrisma </w:t>
            </w:r>
            <w:r w:rsidR="0A906C5D" w:rsidRPr="76563852">
              <w:rPr>
                <w:rFonts w:ascii="Calibri" w:eastAsia="Calibri" w:hAnsi="Calibri" w:cs="Calibri"/>
              </w:rPr>
              <w:t>un kultūras objekti.</w:t>
            </w:r>
          </w:p>
          <w:p w14:paraId="4D000B9C" w14:textId="78D50DAB" w:rsidR="00BF6D81" w:rsidRDefault="00BF6D81" w:rsidP="76563852">
            <w:pPr>
              <w:spacing w:line="259" w:lineRule="auto"/>
              <w:jc w:val="both"/>
              <w:rPr>
                <w:rFonts w:ascii="Calibri" w:eastAsia="Calibri" w:hAnsi="Calibri" w:cs="Calibri"/>
              </w:rPr>
            </w:pPr>
          </w:p>
          <w:p w14:paraId="7D5E9B80" w14:textId="77777777" w:rsidR="00A34294" w:rsidRDefault="003A3FCE" w:rsidP="0E1AAE00">
            <w:pPr>
              <w:spacing w:after="160" w:line="257" w:lineRule="auto"/>
              <w:jc w:val="both"/>
              <w:rPr>
                <w:rFonts w:ascii="Calibri" w:eastAsia="Calibri" w:hAnsi="Calibri" w:cs="Calibri"/>
              </w:rPr>
            </w:pPr>
            <w:r>
              <w:rPr>
                <w:rFonts w:ascii="Calibri" w:eastAsia="Calibri" w:hAnsi="Calibri" w:cs="Calibri"/>
              </w:rPr>
              <w:t>L</w:t>
            </w:r>
            <w:r w:rsidR="4BEF288D" w:rsidRPr="0E1AAE00">
              <w:rPr>
                <w:rFonts w:ascii="Calibri" w:eastAsia="Calibri" w:hAnsi="Calibri" w:cs="Calibri"/>
              </w:rPr>
              <w:t>ikuma Par valsts kultūras pieminekļu aizsardzību 10.</w:t>
            </w:r>
            <w:r>
              <w:rPr>
                <w:rFonts w:ascii="Calibri" w:eastAsia="Calibri" w:hAnsi="Calibri" w:cs="Calibri"/>
              </w:rPr>
              <w:t xml:space="preserve"> </w:t>
            </w:r>
            <w:r w:rsidR="4BEF288D" w:rsidRPr="0E1AAE00">
              <w:rPr>
                <w:rFonts w:ascii="Calibri" w:eastAsia="Calibri" w:hAnsi="Calibri" w:cs="Calibri"/>
              </w:rPr>
              <w:t>pants nosaka, ka saimnieciskā darbība un cita veida darbība kultūras pieminekļos (to teritorijās, zonās, muzeju rezervātos, nacionālajos parkos u. c.), kas var ietekmēt kultūras pieminekļu saglabāšanu, piekļūšanu tiem vai vizuālo uztveramību, kā arī kultūras pieminekļu attēlu un simbolu izmantošana komercdarbībai atļauta tikai ar kultūras pieminekļa īpašnieka piekrišanu. Savukārt Senāts 2017.</w:t>
            </w:r>
            <w:r>
              <w:rPr>
                <w:rFonts w:ascii="Calibri" w:eastAsia="Calibri" w:hAnsi="Calibri" w:cs="Calibri"/>
              </w:rPr>
              <w:t xml:space="preserve"> </w:t>
            </w:r>
            <w:r w:rsidR="4BEF288D" w:rsidRPr="0E1AAE00">
              <w:rPr>
                <w:rFonts w:ascii="Calibri" w:eastAsia="Calibri" w:hAnsi="Calibri" w:cs="Calibri"/>
              </w:rPr>
              <w:t>gada 24.</w:t>
            </w:r>
            <w:r>
              <w:rPr>
                <w:rFonts w:ascii="Calibri" w:eastAsia="Calibri" w:hAnsi="Calibri" w:cs="Calibri"/>
              </w:rPr>
              <w:t xml:space="preserve"> </w:t>
            </w:r>
            <w:r w:rsidR="4BEF288D" w:rsidRPr="0E1AAE00">
              <w:rPr>
                <w:rFonts w:ascii="Calibri" w:eastAsia="Calibri" w:hAnsi="Calibri" w:cs="Calibri"/>
              </w:rPr>
              <w:t>februāra spriedumā lietā Nr. A420415312</w:t>
            </w:r>
            <w:r w:rsidR="4BEF288D" w:rsidRPr="56BCC4CF">
              <w:rPr>
                <w:rFonts w:ascii="Calibri" w:eastAsia="Calibri" w:hAnsi="Calibri" w:cs="Calibri"/>
              </w:rPr>
              <w:t xml:space="preserve"> (SKA</w:t>
            </w:r>
            <w:r w:rsidR="4BEF288D" w:rsidRPr="21D08139">
              <w:rPr>
                <w:rFonts w:ascii="Calibri" w:eastAsia="Calibri" w:hAnsi="Calibri" w:cs="Calibri"/>
              </w:rPr>
              <w:t>-34/2017)</w:t>
            </w:r>
            <w:r w:rsidR="4BEF288D" w:rsidRPr="0E1AAE00">
              <w:rPr>
                <w:rFonts w:ascii="Calibri" w:eastAsia="Calibri" w:hAnsi="Calibri" w:cs="Calibri"/>
              </w:rPr>
              <w:t xml:space="preserve"> ir atzinis, ka </w:t>
            </w:r>
            <w:r w:rsidR="4BEF288D" w:rsidRPr="0E1AAE00">
              <w:rPr>
                <w:rFonts w:ascii="Calibri" w:eastAsia="Calibri" w:hAnsi="Calibri" w:cs="Calibri"/>
              </w:rPr>
              <w:lastRenderedPageBreak/>
              <w:t xml:space="preserve">konkrētajā gadījumā pašvaldībai bija tiesības </w:t>
            </w:r>
            <w:r w:rsidR="00A34294">
              <w:rPr>
                <w:rFonts w:ascii="Calibri" w:eastAsia="Calibri" w:hAnsi="Calibri" w:cs="Calibri"/>
              </w:rPr>
              <w:t>regulēt</w:t>
            </w:r>
            <w:r w:rsidR="4BEF288D" w:rsidRPr="0E1AAE00">
              <w:rPr>
                <w:rFonts w:ascii="Calibri" w:eastAsia="Calibri" w:hAnsi="Calibri" w:cs="Calibri"/>
              </w:rPr>
              <w:t xml:space="preserve"> azartspēļu </w:t>
            </w:r>
            <w:r w:rsidR="00A34294">
              <w:rPr>
                <w:rFonts w:ascii="Calibri" w:eastAsia="Calibri" w:hAnsi="Calibri" w:cs="Calibri"/>
              </w:rPr>
              <w:t>zāļu darbību</w:t>
            </w:r>
            <w:r w:rsidR="4BEF288D" w:rsidRPr="0E1AAE00">
              <w:rPr>
                <w:rFonts w:ascii="Calibri" w:eastAsia="Calibri" w:hAnsi="Calibri" w:cs="Calibri"/>
              </w:rPr>
              <w:t xml:space="preserve"> pilsētas vēsturiskajā centrā. </w:t>
            </w:r>
          </w:p>
          <w:p w14:paraId="1222D610" w14:textId="77777777" w:rsidR="00047677" w:rsidRDefault="4BEF288D" w:rsidP="0E1AAE00">
            <w:pPr>
              <w:spacing w:after="160" w:line="257" w:lineRule="auto"/>
              <w:jc w:val="both"/>
              <w:rPr>
                <w:rFonts w:ascii="Calibri" w:eastAsia="Calibri" w:hAnsi="Calibri" w:cs="Calibri"/>
              </w:rPr>
            </w:pPr>
            <w:r w:rsidRPr="0E1AAE00">
              <w:rPr>
                <w:rFonts w:ascii="Calibri" w:eastAsia="Calibri" w:hAnsi="Calibri" w:cs="Calibri"/>
              </w:rPr>
              <w:t>Ņemot vērā tiesu praksi pašvaldība kā pamatotu uzskata noteikt Cēsu pilsētas vēsturisk</w:t>
            </w:r>
            <w:r w:rsidR="00A34294">
              <w:rPr>
                <w:rFonts w:ascii="Calibri" w:eastAsia="Calibri" w:hAnsi="Calibri" w:cs="Calibri"/>
              </w:rPr>
              <w:t>o</w:t>
            </w:r>
            <w:r w:rsidRPr="0E1AAE00">
              <w:rPr>
                <w:rFonts w:ascii="Calibri" w:eastAsia="Calibri" w:hAnsi="Calibri" w:cs="Calibri"/>
              </w:rPr>
              <w:t xml:space="preserve"> centru un t</w:t>
            </w:r>
            <w:r w:rsidR="00A34294">
              <w:rPr>
                <w:rFonts w:ascii="Calibri" w:eastAsia="Calibri" w:hAnsi="Calibri" w:cs="Calibri"/>
              </w:rPr>
              <w:t>ā aizsargzonu</w:t>
            </w:r>
            <w:r w:rsidRPr="0E1AAE00">
              <w:rPr>
                <w:rFonts w:ascii="Calibri" w:eastAsia="Calibri" w:hAnsi="Calibri" w:cs="Calibri"/>
              </w:rPr>
              <w:t xml:space="preserve"> par teritoriju</w:t>
            </w:r>
            <w:r w:rsidR="00A34294">
              <w:rPr>
                <w:rFonts w:ascii="Calibri" w:eastAsia="Calibri" w:hAnsi="Calibri" w:cs="Calibri"/>
              </w:rPr>
              <w:t>,</w:t>
            </w:r>
            <w:r w:rsidRPr="0E1AAE00">
              <w:rPr>
                <w:rFonts w:ascii="Calibri" w:eastAsia="Calibri" w:hAnsi="Calibri" w:cs="Calibri"/>
              </w:rPr>
              <w:t xml:space="preserve"> kurā ir aizliegts organizēt azartspēles, ievērojot iedzīvotāju tiesības uz kultūras mantojuma saglabāšanu. </w:t>
            </w:r>
          </w:p>
          <w:p w14:paraId="53596F14" w14:textId="0CF31206" w:rsidR="0E1AAE00" w:rsidRPr="00000CD9" w:rsidRDefault="4BEF288D" w:rsidP="00000CD9">
            <w:pPr>
              <w:spacing w:after="160" w:line="257" w:lineRule="auto"/>
              <w:jc w:val="both"/>
              <w:rPr>
                <w:rFonts w:ascii="Calibri" w:eastAsia="Calibri" w:hAnsi="Calibri" w:cs="Calibri"/>
              </w:rPr>
            </w:pPr>
            <w:r w:rsidRPr="0E1AAE00">
              <w:rPr>
                <w:rFonts w:ascii="Calibri" w:eastAsia="Calibri" w:hAnsi="Calibri" w:cs="Calibri"/>
              </w:rPr>
              <w:t>Senāta 2019.</w:t>
            </w:r>
            <w:r w:rsidR="00047677">
              <w:rPr>
                <w:rFonts w:ascii="Calibri" w:eastAsia="Calibri" w:hAnsi="Calibri" w:cs="Calibri"/>
              </w:rPr>
              <w:t xml:space="preserve"> </w:t>
            </w:r>
            <w:r w:rsidRPr="0E1AAE00">
              <w:rPr>
                <w:rFonts w:ascii="Calibri" w:eastAsia="Calibri" w:hAnsi="Calibri" w:cs="Calibri"/>
              </w:rPr>
              <w:t>gada 16.</w:t>
            </w:r>
            <w:r w:rsidR="00047677">
              <w:rPr>
                <w:rFonts w:ascii="Calibri" w:eastAsia="Calibri" w:hAnsi="Calibri" w:cs="Calibri"/>
              </w:rPr>
              <w:t xml:space="preserve"> </w:t>
            </w:r>
            <w:r w:rsidRPr="0E1AAE00">
              <w:rPr>
                <w:rFonts w:ascii="Calibri" w:eastAsia="Calibri" w:hAnsi="Calibri" w:cs="Calibri"/>
              </w:rPr>
              <w:t xml:space="preserve">maija spriedumā (lieta Nr. 2018-17-03) norādīts, ka saistošie noteikumi ir piemērots līdzeklis leģitīmā mērķa - saglabāt un aizsargāt vēsturisko centru un tā kultūrvērsturiskās vērtības materiālā un nemateriālā dimensijā - sasniegšanai, jo ļauj vēsturiskajā centrā izvairīties no spēļu zālēm raksturīgiem arhitektoniskiem un reklāmas risinājumiem. Tādējādi tiek paaugstināta sabiedrības drošības sajūta un </w:t>
            </w:r>
            <w:r w:rsidR="00D73143">
              <w:rPr>
                <w:rFonts w:ascii="Calibri" w:eastAsia="Calibri" w:hAnsi="Calibri" w:cs="Calibri"/>
              </w:rPr>
              <w:t xml:space="preserve">pilsētas </w:t>
            </w:r>
            <w:r w:rsidRPr="0E1AAE00">
              <w:rPr>
                <w:rFonts w:ascii="Calibri" w:eastAsia="Calibri" w:hAnsi="Calibri" w:cs="Calibri"/>
              </w:rPr>
              <w:t>vēsturiskā centra pievilcīgums tā iedzīvotāju un apmeklētāju acīs, kuri var pilnvērtīgi lietot un baudīt pilsētvidi.</w:t>
            </w:r>
          </w:p>
          <w:p w14:paraId="0CA00B56" w14:textId="7ACA2E21" w:rsidR="00BF6D81" w:rsidRDefault="00BF6D81" w:rsidP="76563852">
            <w:pPr>
              <w:spacing w:line="259" w:lineRule="auto"/>
              <w:ind w:left="720"/>
              <w:jc w:val="both"/>
              <w:rPr>
                <w:rFonts w:ascii="Calibri" w:eastAsia="Calibri" w:hAnsi="Calibri" w:cs="Calibri"/>
              </w:rPr>
            </w:pPr>
          </w:p>
          <w:p w14:paraId="0CB2FE0D" w14:textId="3C95393D" w:rsidR="00BF6D81" w:rsidRDefault="00D73143" w:rsidP="76563852">
            <w:pPr>
              <w:spacing w:after="160" w:line="257" w:lineRule="auto"/>
              <w:jc w:val="both"/>
              <w:rPr>
                <w:rFonts w:ascii="Calibri" w:eastAsia="Calibri" w:hAnsi="Calibri" w:cs="Calibri"/>
              </w:rPr>
            </w:pPr>
            <w:r>
              <w:rPr>
                <w:rFonts w:ascii="Calibri" w:eastAsia="Calibri" w:hAnsi="Calibri" w:cs="Calibri"/>
                <w:color w:val="000000" w:themeColor="text1"/>
              </w:rPr>
              <w:t xml:space="preserve">Attiecība uz saistošo noteikumu </w:t>
            </w:r>
            <w:r w:rsidR="00000CD9">
              <w:rPr>
                <w:rFonts w:ascii="Calibri" w:eastAsia="Calibri" w:hAnsi="Calibri" w:cs="Calibri"/>
                <w:color w:val="000000" w:themeColor="text1"/>
              </w:rPr>
              <w:t xml:space="preserve">aizliegumu izvietot spēļu zāles pie izglītības iestādēm, pašvaldība vadās pēc normām, kas ietvertas </w:t>
            </w:r>
            <w:r w:rsidR="225B9DE3" w:rsidRPr="76563852">
              <w:rPr>
                <w:rFonts w:ascii="Calibri" w:eastAsia="Calibri" w:hAnsi="Calibri" w:cs="Calibri"/>
                <w:color w:val="000000" w:themeColor="text1"/>
              </w:rPr>
              <w:t>Azartspēļu un izložu politikas pamatnostādnēm</w:t>
            </w:r>
            <w:r w:rsidR="225B9DE3" w:rsidRPr="76563852">
              <w:rPr>
                <w:rFonts w:ascii="Calibri" w:eastAsia="Calibri" w:hAnsi="Calibri" w:cs="Calibri"/>
              </w:rPr>
              <w:t xml:space="preserve"> 2021.-2027. gadam, </w:t>
            </w:r>
            <w:r w:rsidR="00000CD9">
              <w:rPr>
                <w:rFonts w:ascii="Calibri" w:eastAsia="Calibri" w:hAnsi="Calibri" w:cs="Calibri"/>
              </w:rPr>
              <w:t xml:space="preserve">kurās paredzēts aizliegums </w:t>
            </w:r>
            <w:r w:rsidR="225B9DE3" w:rsidRPr="76563852">
              <w:rPr>
                <w:rFonts w:ascii="Calibri" w:eastAsia="Calibri" w:hAnsi="Calibri" w:cs="Calibri"/>
              </w:rPr>
              <w:t>izvietot azartspēļu zāles 250 metru attālumā no pirmsskolas, pamata un vidējās izglītības iestādēm</w:t>
            </w:r>
            <w:r w:rsidR="003337DA">
              <w:rPr>
                <w:rFonts w:ascii="Calibri" w:eastAsia="Calibri" w:hAnsi="Calibri" w:cs="Calibri"/>
              </w:rPr>
              <w:t xml:space="preserve">. </w:t>
            </w:r>
          </w:p>
          <w:p w14:paraId="64FEE55F" w14:textId="5B0118DE" w:rsidR="00BF6D81" w:rsidRDefault="00BF6D81" w:rsidP="00563189">
            <w:pPr>
              <w:shd w:val="clear" w:color="auto" w:fill="FFFFFF" w:themeFill="background1"/>
              <w:spacing w:line="293" w:lineRule="exact"/>
              <w:ind w:right="-20"/>
              <w:jc w:val="both"/>
              <w:rPr>
                <w:rFonts w:ascii="Calibri" w:eastAsia="Calibri" w:hAnsi="Calibri" w:cs="Calibri"/>
              </w:rPr>
            </w:pPr>
          </w:p>
        </w:tc>
      </w:tr>
      <w:tr w:rsidR="00E94B74" w14:paraId="41A41F5D" w14:textId="77777777" w:rsidTr="76563852">
        <w:tc>
          <w:tcPr>
            <w:tcW w:w="2025" w:type="dxa"/>
          </w:tcPr>
          <w:p w14:paraId="503CCFCC" w14:textId="1F88A336" w:rsidR="00E94B74" w:rsidRDefault="000A32E8">
            <w:r>
              <w:lastRenderedPageBreak/>
              <w:t>2. Fiskālā ietekme uz pašvaldības budžetu</w:t>
            </w:r>
          </w:p>
        </w:tc>
        <w:tc>
          <w:tcPr>
            <w:tcW w:w="6271" w:type="dxa"/>
          </w:tcPr>
          <w:p w14:paraId="6C997C21" w14:textId="019C2DF3" w:rsidR="00136BA9" w:rsidRDefault="5F3CE2C9" w:rsidP="76563852">
            <w:pPr>
              <w:jc w:val="both"/>
            </w:pPr>
            <w:r>
              <w:t xml:space="preserve">Cēsu novada pašvaldības </w:t>
            </w:r>
            <w:r w:rsidR="651BBEC5">
              <w:t>budž</w:t>
            </w:r>
            <w:r w:rsidR="38A76125">
              <w:t>et</w:t>
            </w:r>
            <w:r>
              <w:t xml:space="preserve">a ieņēmumi </w:t>
            </w:r>
            <w:r w:rsidR="309F6CEB">
              <w:t xml:space="preserve">2022. gadā </w:t>
            </w:r>
            <w:r>
              <w:t xml:space="preserve">no </w:t>
            </w:r>
            <w:r w:rsidR="5B7C0DE4">
              <w:t>azartspēļu nodokļa</w:t>
            </w:r>
            <w:r>
              <w:t xml:space="preserve"> </w:t>
            </w:r>
            <w:r w:rsidR="06AE9464">
              <w:t>sasniedza</w:t>
            </w:r>
            <w:r w:rsidR="2340DD04">
              <w:t xml:space="preserve"> </w:t>
            </w:r>
            <w:r w:rsidR="64B245C8" w:rsidRPr="76563852">
              <w:rPr>
                <w:rFonts w:eastAsiaTheme="minorEastAsia"/>
              </w:rPr>
              <w:t>16 2610</w:t>
            </w:r>
            <w:r w:rsidR="2340DD04" w:rsidRPr="76563852">
              <w:rPr>
                <w:rFonts w:eastAsiaTheme="minorEastAsia"/>
              </w:rPr>
              <w:t xml:space="preserve"> EUR.</w:t>
            </w:r>
            <w:r w:rsidR="2340DD04">
              <w:t xml:space="preserve"> </w:t>
            </w:r>
            <w:r w:rsidR="15699E23">
              <w:t xml:space="preserve">Turpmāko piecu gadu laikā </w:t>
            </w:r>
            <w:r w:rsidR="06AE9464">
              <w:t xml:space="preserve">pēc saistošo </w:t>
            </w:r>
            <w:r w:rsidR="1049991C">
              <w:t>noteikumu spēkā stāšanās esošo azartspēļu zāļu darbība netiks pārtraukta, līdz ar to</w:t>
            </w:r>
            <w:r w:rsidR="00000CD9">
              <w:t>,</w:t>
            </w:r>
            <w:r w:rsidR="1049991C">
              <w:t xml:space="preserve"> īstermiņā</w:t>
            </w:r>
            <w:r w:rsidR="00000CD9">
              <w:t>,</w:t>
            </w:r>
            <w:r w:rsidR="1049991C">
              <w:t xml:space="preserve"> ietekme uz</w:t>
            </w:r>
            <w:r w:rsidR="68F8344C">
              <w:t xml:space="preserve"> pašvaldības</w:t>
            </w:r>
            <w:r w:rsidR="1049991C">
              <w:t xml:space="preserve"> budžetu nav paredzama. </w:t>
            </w:r>
          </w:p>
          <w:p w14:paraId="33E3EBED" w14:textId="77777777" w:rsidR="00136BA9" w:rsidRDefault="00136BA9" w:rsidP="76563852">
            <w:pPr>
              <w:ind w:left="720"/>
              <w:jc w:val="both"/>
            </w:pPr>
          </w:p>
          <w:p w14:paraId="47FCA072" w14:textId="475C341F" w:rsidR="00E94B74" w:rsidRDefault="2A24F577" w:rsidP="76563852">
            <w:pPr>
              <w:jc w:val="both"/>
            </w:pPr>
            <w:r>
              <w:t>Saistošo noteikumu tvērums paredz, ka azartspēļu uzņēmumiem</w:t>
            </w:r>
            <w:r w:rsidR="1525B3BA">
              <w:t xml:space="preserve"> ir</w:t>
            </w:r>
            <w:r>
              <w:t xml:space="preserve"> iespēja izveidot azartspēļu zāles citās vietās un teritorijās</w:t>
            </w:r>
            <w:r w:rsidR="68F8344C">
              <w:t>, kuras</w:t>
            </w:r>
            <w:r w:rsidR="4A7BB72A">
              <w:t xml:space="preserve"> tiks</w:t>
            </w:r>
            <w:r w:rsidR="68F8344C">
              <w:t xml:space="preserve"> detalizēti noteik</w:t>
            </w:r>
            <w:r w:rsidR="0439A813">
              <w:t>tas</w:t>
            </w:r>
            <w:r w:rsidR="68F8344C">
              <w:t xml:space="preserve"> Cēsu pilsētas lokālplānojum</w:t>
            </w:r>
            <w:r w:rsidR="790C45AC">
              <w:t>ā</w:t>
            </w:r>
            <w:r w:rsidR="68F8344C">
              <w:t xml:space="preserve">. </w:t>
            </w:r>
            <w:r w:rsidR="75D6986B">
              <w:t>Līdz ar to saglabā</w:t>
            </w:r>
            <w:r w:rsidR="3EC967D5">
              <w:t>sies</w:t>
            </w:r>
            <w:r w:rsidR="75D6986B">
              <w:t xml:space="preserve"> iespēja sniegt azartspēļu pakalpojumus un atbilstoši saņemt ieņēmums pašvaldības budžetā no azartspēļu nodokļa. </w:t>
            </w:r>
          </w:p>
        </w:tc>
      </w:tr>
      <w:tr w:rsidR="00E94B74" w14:paraId="2DF6AB77" w14:textId="77777777" w:rsidTr="76563852">
        <w:tc>
          <w:tcPr>
            <w:tcW w:w="2025" w:type="dxa"/>
          </w:tcPr>
          <w:p w14:paraId="5054067B" w14:textId="5C16CCF0" w:rsidR="00E94B74" w:rsidRDefault="00434DD8">
            <w:r>
              <w:t xml:space="preserve">3. Sociālā ietekme, </w:t>
            </w:r>
            <w:r w:rsidR="003B07C6">
              <w:t>ietekme uz vidi, iedzīvotāju veselību, uzņēmējdarbības vidi</w:t>
            </w:r>
            <w:r w:rsidR="00A16C91">
              <w:t xml:space="preserve"> pašvaldības teritorijā, kā arī plānotā regulējuma ietekme </w:t>
            </w:r>
            <w:r w:rsidR="00B718CB">
              <w:t>uz konkurenci</w:t>
            </w:r>
          </w:p>
        </w:tc>
        <w:tc>
          <w:tcPr>
            <w:tcW w:w="6271" w:type="dxa"/>
          </w:tcPr>
          <w:p w14:paraId="044FA1D6" w14:textId="389B2F7D" w:rsidR="00920F64" w:rsidRDefault="122F816D" w:rsidP="76563852">
            <w:pPr>
              <w:jc w:val="both"/>
            </w:pPr>
            <w:r w:rsidRPr="76563852">
              <w:rPr>
                <w:b/>
                <w:bCs/>
              </w:rPr>
              <w:t>Sociālā ietekme</w:t>
            </w:r>
            <w:r>
              <w:t xml:space="preserve"> </w:t>
            </w:r>
            <w:r w:rsidR="72AA2DFF">
              <w:t>–</w:t>
            </w:r>
            <w:r>
              <w:t xml:space="preserve"> </w:t>
            </w:r>
            <w:r w:rsidR="72AA2DFF">
              <w:t>mazin</w:t>
            </w:r>
            <w:r w:rsidR="5D0482AA">
              <w:t xml:space="preserve">āsies </w:t>
            </w:r>
            <w:r w:rsidR="72AA2DFF">
              <w:t xml:space="preserve">azartspēļu pieejamību vietās un teritorijās, kurās </w:t>
            </w:r>
            <w:r w:rsidR="080673C7">
              <w:t>notiek intensīva bērnu</w:t>
            </w:r>
            <w:r w:rsidR="31EBDCF5">
              <w:t xml:space="preserve"> un</w:t>
            </w:r>
            <w:r w:rsidR="080673C7">
              <w:t xml:space="preserve"> jauniešu</w:t>
            </w:r>
            <w:r w:rsidR="31EBDCF5">
              <w:t xml:space="preserve"> kustība</w:t>
            </w:r>
            <w:r w:rsidR="3D843813">
              <w:t xml:space="preserve">, tādējādi </w:t>
            </w:r>
            <w:r w:rsidR="000F0FBC">
              <w:t>neveicinot bērnu un jauniešu</w:t>
            </w:r>
            <w:r w:rsidR="3D843813">
              <w:t xml:space="preserve"> interesi par azartspēlēm. </w:t>
            </w:r>
          </w:p>
          <w:p w14:paraId="0A19C0DE" w14:textId="359859FE" w:rsidR="56576EC1" w:rsidRDefault="56576EC1" w:rsidP="76563852">
            <w:pPr>
              <w:ind w:left="720"/>
              <w:jc w:val="both"/>
            </w:pPr>
          </w:p>
          <w:p w14:paraId="21203504" w14:textId="2C6619C5" w:rsidR="60EDDE2B" w:rsidRDefault="4E17E946" w:rsidP="76563852">
            <w:pPr>
              <w:jc w:val="both"/>
              <w:rPr>
                <w:rFonts w:ascii="Calibri" w:eastAsia="Calibri" w:hAnsi="Calibri" w:cs="Calibri"/>
              </w:rPr>
            </w:pPr>
            <w:r>
              <w:t xml:space="preserve">Kultūrvēsturiski nozīmīgajā Cēsu </w:t>
            </w:r>
            <w:r w:rsidR="00660C70">
              <w:t>vēsturiskajā centrā un tā aizsargzonā</w:t>
            </w:r>
            <w:r>
              <w:t xml:space="preserve"> </w:t>
            </w:r>
            <w:r w:rsidR="4CC24366">
              <w:t xml:space="preserve">būs </w:t>
            </w:r>
            <w:r w:rsidR="531BB203">
              <w:t xml:space="preserve">nodrošināta </w:t>
            </w:r>
            <w:r w:rsidR="4CC24366" w:rsidRPr="76563852">
              <w:rPr>
                <w:rFonts w:ascii="Calibri" w:eastAsia="Calibri" w:hAnsi="Calibri" w:cs="Calibri"/>
              </w:rPr>
              <w:t xml:space="preserve">materiālo un nemateriālo </w:t>
            </w:r>
            <w:r w:rsidR="00C30CA2">
              <w:rPr>
                <w:rFonts w:ascii="Calibri" w:eastAsia="Calibri" w:hAnsi="Calibri" w:cs="Calibri"/>
              </w:rPr>
              <w:t xml:space="preserve">kultūras </w:t>
            </w:r>
            <w:r w:rsidR="4CC24366" w:rsidRPr="76563852">
              <w:rPr>
                <w:rFonts w:ascii="Calibri" w:eastAsia="Calibri" w:hAnsi="Calibri" w:cs="Calibri"/>
              </w:rPr>
              <w:t xml:space="preserve">vērtību aizsardzība un attīstība, kā arī panākta dažādu </w:t>
            </w:r>
            <w:r w:rsidR="398839A8" w:rsidRPr="76563852">
              <w:rPr>
                <w:rFonts w:ascii="Calibri" w:eastAsia="Calibri" w:hAnsi="Calibri" w:cs="Calibri"/>
              </w:rPr>
              <w:t xml:space="preserve">sabiedrības </w:t>
            </w:r>
            <w:r w:rsidR="1FBAA3A4" w:rsidRPr="76563852">
              <w:rPr>
                <w:rFonts w:ascii="Calibri" w:eastAsia="Calibri" w:hAnsi="Calibri" w:cs="Calibri"/>
              </w:rPr>
              <w:t>interešu</w:t>
            </w:r>
            <w:r w:rsidR="398839A8" w:rsidRPr="76563852">
              <w:rPr>
                <w:rFonts w:ascii="Calibri" w:eastAsia="Calibri" w:hAnsi="Calibri" w:cs="Calibri"/>
              </w:rPr>
              <w:t xml:space="preserve"> un vajadzīb</w:t>
            </w:r>
            <w:r w:rsidR="3ABB63F6" w:rsidRPr="76563852">
              <w:rPr>
                <w:rFonts w:ascii="Calibri" w:eastAsia="Calibri" w:hAnsi="Calibri" w:cs="Calibri"/>
              </w:rPr>
              <w:t>u līdzsvarošana</w:t>
            </w:r>
            <w:r w:rsidR="398839A8" w:rsidRPr="76563852">
              <w:rPr>
                <w:rFonts w:ascii="Calibri" w:eastAsia="Calibri" w:hAnsi="Calibri" w:cs="Calibri"/>
              </w:rPr>
              <w:t xml:space="preserve">, padarot šo teritoriju </w:t>
            </w:r>
            <w:r w:rsidR="00FE67FC">
              <w:rPr>
                <w:rFonts w:ascii="Calibri" w:eastAsia="Calibri" w:hAnsi="Calibri" w:cs="Calibri"/>
              </w:rPr>
              <w:t>labvēlīgāku</w:t>
            </w:r>
            <w:r w:rsidR="398839A8" w:rsidRPr="76563852">
              <w:rPr>
                <w:rFonts w:ascii="Calibri" w:eastAsia="Calibri" w:hAnsi="Calibri" w:cs="Calibri"/>
              </w:rPr>
              <w:t xml:space="preserve"> </w:t>
            </w:r>
            <w:r w:rsidR="15DAC2A0" w:rsidRPr="76563852">
              <w:rPr>
                <w:rFonts w:ascii="Calibri" w:eastAsia="Calibri" w:hAnsi="Calibri" w:cs="Calibri"/>
              </w:rPr>
              <w:t>pilsētas viesiem un iedzīvotājiem</w:t>
            </w:r>
            <w:r w:rsidR="47BDD492" w:rsidRPr="76563852">
              <w:rPr>
                <w:rFonts w:ascii="Calibri" w:eastAsia="Calibri" w:hAnsi="Calibri" w:cs="Calibri"/>
              </w:rPr>
              <w:t>, un veicinot tūrisma nozares attīstību.</w:t>
            </w:r>
          </w:p>
          <w:p w14:paraId="20EB3237" w14:textId="04460A1C" w:rsidR="56576EC1" w:rsidRDefault="56576EC1" w:rsidP="76563852">
            <w:pPr>
              <w:ind w:left="720"/>
              <w:jc w:val="both"/>
              <w:rPr>
                <w:rFonts w:ascii="Calibri" w:eastAsia="Calibri" w:hAnsi="Calibri" w:cs="Calibri"/>
              </w:rPr>
            </w:pPr>
          </w:p>
          <w:p w14:paraId="1A52F212" w14:textId="2AB33DA4" w:rsidR="21CB797D" w:rsidRDefault="1EFADD20" w:rsidP="76563852">
            <w:pPr>
              <w:jc w:val="both"/>
              <w:rPr>
                <w:rFonts w:ascii="Calibri" w:eastAsia="Calibri" w:hAnsi="Calibri" w:cs="Calibri"/>
              </w:rPr>
            </w:pPr>
            <w:r w:rsidRPr="76563852">
              <w:rPr>
                <w:rFonts w:ascii="Calibri" w:eastAsia="Calibri" w:hAnsi="Calibri" w:cs="Calibri"/>
                <w:b/>
                <w:bCs/>
              </w:rPr>
              <w:t xml:space="preserve">Ietekme uz vidi </w:t>
            </w:r>
            <w:r w:rsidRPr="76563852">
              <w:rPr>
                <w:rFonts w:ascii="Calibri" w:eastAsia="Calibri" w:hAnsi="Calibri" w:cs="Calibri"/>
              </w:rPr>
              <w:t xml:space="preserve">– nav paredzama. </w:t>
            </w:r>
          </w:p>
          <w:p w14:paraId="31818BD9" w14:textId="48247F77" w:rsidR="56576EC1" w:rsidRDefault="56576EC1" w:rsidP="76563852">
            <w:pPr>
              <w:ind w:left="720"/>
              <w:jc w:val="both"/>
              <w:rPr>
                <w:rFonts w:ascii="Calibri" w:eastAsia="Calibri" w:hAnsi="Calibri" w:cs="Calibri"/>
              </w:rPr>
            </w:pPr>
          </w:p>
          <w:p w14:paraId="0EF2BC96" w14:textId="6621436A" w:rsidR="00563189" w:rsidRDefault="1EFADD20" w:rsidP="00563189">
            <w:pPr>
              <w:shd w:val="clear" w:color="auto" w:fill="FFFFFF" w:themeFill="background1"/>
              <w:spacing w:line="293" w:lineRule="exact"/>
              <w:ind w:right="-20"/>
              <w:jc w:val="both"/>
              <w:rPr>
                <w:rFonts w:eastAsiaTheme="minorEastAsia"/>
              </w:rPr>
            </w:pPr>
            <w:r w:rsidRPr="76563852">
              <w:rPr>
                <w:rFonts w:ascii="Calibri" w:eastAsia="Calibri" w:hAnsi="Calibri" w:cs="Calibri"/>
                <w:b/>
                <w:bCs/>
              </w:rPr>
              <w:lastRenderedPageBreak/>
              <w:t>Ietekme uz iedzīvotāju veselību</w:t>
            </w:r>
            <w:r w:rsidRPr="76563852">
              <w:rPr>
                <w:rFonts w:ascii="Calibri" w:eastAsia="Calibri" w:hAnsi="Calibri" w:cs="Calibri"/>
              </w:rPr>
              <w:t xml:space="preserve"> </w:t>
            </w:r>
            <w:r w:rsidR="008C1D60">
              <w:rPr>
                <w:rFonts w:ascii="Calibri" w:eastAsia="Calibri" w:hAnsi="Calibri" w:cs="Calibri"/>
              </w:rPr>
              <w:t>–</w:t>
            </w:r>
            <w:r w:rsidRPr="76563852">
              <w:rPr>
                <w:rFonts w:ascii="Calibri" w:eastAsia="Calibri" w:hAnsi="Calibri" w:cs="Calibri"/>
              </w:rPr>
              <w:t xml:space="preserve"> </w:t>
            </w:r>
            <w:r w:rsidR="008C1D60">
              <w:rPr>
                <w:rFonts w:ascii="Calibri" w:eastAsia="Calibri" w:hAnsi="Calibri" w:cs="Calibri"/>
              </w:rPr>
              <w:t xml:space="preserve">Ņemot vērā, ka </w:t>
            </w:r>
            <w:r w:rsidR="009A5784" w:rsidRPr="76563852">
              <w:rPr>
                <w:rFonts w:eastAsiaTheme="minorEastAsia"/>
              </w:rPr>
              <w:t xml:space="preserve">azartspēļu atkarība </w:t>
            </w:r>
            <w:r w:rsidR="00A561C0">
              <w:rPr>
                <w:rFonts w:eastAsiaTheme="minorEastAsia"/>
              </w:rPr>
              <w:t xml:space="preserve">rada nelabvēlīgu ietekmi uz </w:t>
            </w:r>
            <w:r w:rsidR="00CB55EB">
              <w:rPr>
                <w:rFonts w:eastAsiaTheme="minorEastAsia"/>
              </w:rPr>
              <w:t>cilvēk</w:t>
            </w:r>
            <w:r w:rsidR="00A561C0">
              <w:rPr>
                <w:rFonts w:eastAsiaTheme="minorEastAsia"/>
              </w:rPr>
              <w:t>a</w:t>
            </w:r>
            <w:r w:rsidR="00CB55EB">
              <w:rPr>
                <w:rFonts w:eastAsiaTheme="minorEastAsia"/>
              </w:rPr>
              <w:t xml:space="preserve"> mentālo un fizisko veselību</w:t>
            </w:r>
            <w:r w:rsidR="008C1D60" w:rsidRPr="76563852">
              <w:rPr>
                <w:rStyle w:val="FootnoteReference"/>
                <w:rFonts w:eastAsiaTheme="minorEastAsia"/>
              </w:rPr>
              <w:footnoteReference w:id="2"/>
            </w:r>
            <w:r w:rsidR="008C1D60" w:rsidRPr="76563852">
              <w:rPr>
                <w:rFonts w:eastAsiaTheme="minorEastAsia"/>
              </w:rPr>
              <w:t xml:space="preserve">, </w:t>
            </w:r>
            <w:r w:rsidR="00A561C0">
              <w:t xml:space="preserve">paredzams, </w:t>
            </w:r>
            <w:r>
              <w:t xml:space="preserve">ka azartspēļu pieejamības ierobežošana pilsētā pozitīvi ietekmēs iedzīvotāju </w:t>
            </w:r>
            <w:r w:rsidR="009034A8">
              <w:t>labbūtību</w:t>
            </w:r>
            <w:r>
              <w:t xml:space="preserve">, kā arī samazinās </w:t>
            </w:r>
            <w:r w:rsidR="009034A8">
              <w:t xml:space="preserve">bērnu, </w:t>
            </w:r>
            <w:r>
              <w:t xml:space="preserve">jauniešu </w:t>
            </w:r>
            <w:r w:rsidR="002B238C">
              <w:t xml:space="preserve">un </w:t>
            </w:r>
            <w:r w:rsidR="00D41AB1">
              <w:t xml:space="preserve">citu riska grupu </w:t>
            </w:r>
            <w:r>
              <w:t>saskarsmi ar azartspēlēm pilsētvidē.</w:t>
            </w:r>
            <w:r w:rsidR="00563189">
              <w:t xml:space="preserve"> </w:t>
            </w:r>
          </w:p>
          <w:p w14:paraId="77C210C1" w14:textId="595E09CF" w:rsidR="00962AD5" w:rsidRDefault="00962AD5" w:rsidP="00702BC8">
            <w:pPr>
              <w:jc w:val="both"/>
            </w:pPr>
          </w:p>
          <w:p w14:paraId="193617BF" w14:textId="2DD3EFD5" w:rsidR="00962AD5" w:rsidRDefault="1FA0749B" w:rsidP="76563852">
            <w:pPr>
              <w:jc w:val="both"/>
            </w:pPr>
            <w:r>
              <w:t xml:space="preserve">Azartspēļu pieejamības ierobežošanai ir tieša korelācija ar azartspēļu atkarību mazināšanu, īpaši tiem cilvēkiem, kas jau cieš no azartspēļu atkarības (Veselības ministrija, 2019. gads, Pētījums par procesu atkarību izplatību Latvijas iedzīvotāju vidū un to ietekmējošie riska faktori). Azartspēļu zāļu atrašanās pilsētas centrā, kur notiek aktīva cilvēku aprite, var būt viens no </w:t>
            </w:r>
            <w:r w:rsidR="2574AD97">
              <w:t>faktoriem un ierosinātājiem</w:t>
            </w:r>
            <w:r>
              <w:t>, kas izraisa azartspēļu atkarības saasināšanos</w:t>
            </w:r>
            <w:r w:rsidR="7C4C9A61">
              <w:t xml:space="preserve"> un recidīvu</w:t>
            </w:r>
            <w:r>
              <w:t>.</w:t>
            </w:r>
          </w:p>
          <w:p w14:paraId="0A247CCF" w14:textId="7207A27C" w:rsidR="00962AD5" w:rsidRDefault="00962AD5" w:rsidP="76563852">
            <w:pPr>
              <w:ind w:left="720"/>
              <w:jc w:val="both"/>
            </w:pPr>
          </w:p>
          <w:p w14:paraId="7EACDBF2" w14:textId="1D01B1E9" w:rsidR="00962AD5" w:rsidRDefault="3222F503" w:rsidP="76563852">
            <w:pPr>
              <w:jc w:val="both"/>
            </w:pPr>
            <w:r w:rsidRPr="76563852">
              <w:rPr>
                <w:b/>
                <w:bCs/>
              </w:rPr>
              <w:t xml:space="preserve">Ietekme uz uzņēmējdarbības vidi </w:t>
            </w:r>
            <w:r w:rsidR="11473EE0">
              <w:t>–</w:t>
            </w:r>
            <w:r>
              <w:t xml:space="preserve"> </w:t>
            </w:r>
            <w:r w:rsidR="11473EE0">
              <w:t>sa</w:t>
            </w:r>
            <w:r w:rsidR="438261ED">
              <w:t>i</w:t>
            </w:r>
            <w:r w:rsidR="11473EE0">
              <w:t xml:space="preserve">stošo noteikumu regulējums skars </w:t>
            </w:r>
            <w:r w:rsidR="004E4520">
              <w:t xml:space="preserve">divus </w:t>
            </w:r>
            <w:r w:rsidR="438261ED">
              <w:t>azartspēļu organizētājus</w:t>
            </w:r>
            <w:r w:rsidR="3AB8CC8D">
              <w:t xml:space="preserve">. Līdz ar to abas spēļu zāles nāksies slēgt pēc </w:t>
            </w:r>
            <w:r w:rsidR="00E60098">
              <w:t>likumā noteiktā</w:t>
            </w:r>
            <w:r w:rsidR="3AB8CC8D">
              <w:t xml:space="preserve"> pārejas perioda noslēguma. </w:t>
            </w:r>
            <w:r w:rsidR="0935E529">
              <w:t xml:space="preserve">Ja pārejas perioda laikā uzņēmumi atradīs citas piemērotas telpas atļautajās vietās un teritorijās, </w:t>
            </w:r>
            <w:r w:rsidR="6705E732">
              <w:t>kas ir piemērotas</w:t>
            </w:r>
            <w:r w:rsidR="42DA11D9">
              <w:t xml:space="preserve"> azartspēļu izklaidei, </w:t>
            </w:r>
            <w:r w:rsidR="0935E529">
              <w:t>spēļu zāļu darbība varēs turpināties</w:t>
            </w:r>
            <w:r w:rsidR="13575BC7">
              <w:t>, nodrošinot darba vietas un ienākumus pašvaldības budžetā</w:t>
            </w:r>
            <w:r w:rsidR="00E322DD">
              <w:t xml:space="preserve"> atbildīg</w:t>
            </w:r>
            <w:r w:rsidR="007F779B">
              <w:t>i</w:t>
            </w:r>
            <w:r w:rsidR="00E322DD">
              <w:t xml:space="preserve"> un sabiedrība</w:t>
            </w:r>
            <w:r w:rsidR="00823C77">
              <w:t>s</w:t>
            </w:r>
            <w:r w:rsidR="00E322DD">
              <w:t xml:space="preserve"> </w:t>
            </w:r>
            <w:r w:rsidR="00823C77">
              <w:t>interesēm atbilstoši</w:t>
            </w:r>
            <w:r w:rsidR="0935E529">
              <w:t>.</w:t>
            </w:r>
          </w:p>
          <w:p w14:paraId="22581D24" w14:textId="6F19C829" w:rsidR="00962AD5" w:rsidRDefault="00962AD5" w:rsidP="76563852">
            <w:pPr>
              <w:ind w:left="720"/>
              <w:jc w:val="both"/>
            </w:pPr>
          </w:p>
          <w:p w14:paraId="42897267" w14:textId="445A1DBC" w:rsidR="00962AD5" w:rsidRDefault="7817E714" w:rsidP="76563852">
            <w:pPr>
              <w:jc w:val="both"/>
            </w:pPr>
            <w:r w:rsidRPr="76563852">
              <w:rPr>
                <w:b/>
                <w:bCs/>
              </w:rPr>
              <w:t>Ietekme uz konkurenci</w:t>
            </w:r>
            <w:r>
              <w:t xml:space="preserve"> – nav.</w:t>
            </w:r>
            <w:r w:rsidR="0935E529">
              <w:t xml:space="preserve"> </w:t>
            </w:r>
            <w:r w:rsidR="6ED73A0F">
              <w:t xml:space="preserve"> </w:t>
            </w:r>
          </w:p>
        </w:tc>
      </w:tr>
      <w:tr w:rsidR="00E94B74" w14:paraId="786FB6E0" w14:textId="77777777" w:rsidTr="76563852">
        <w:tc>
          <w:tcPr>
            <w:tcW w:w="2025" w:type="dxa"/>
          </w:tcPr>
          <w:p w14:paraId="6B1CCA19" w14:textId="511541E2" w:rsidR="00E94B74" w:rsidRDefault="00F43D71">
            <w:r>
              <w:lastRenderedPageBreak/>
              <w:t xml:space="preserve">4. Ietekme uz administratīvajām procedūrām un to izmaksām </w:t>
            </w:r>
          </w:p>
        </w:tc>
        <w:tc>
          <w:tcPr>
            <w:tcW w:w="6271" w:type="dxa"/>
          </w:tcPr>
          <w:p w14:paraId="4A820111" w14:textId="75E6198F" w:rsidR="00E94B74" w:rsidRDefault="52787FDE" w:rsidP="76563852">
            <w:pPr>
              <w:jc w:val="both"/>
            </w:pPr>
            <w:r>
              <w:t>Saistoš</w:t>
            </w:r>
            <w:r w:rsidR="450118C8">
              <w:t>ie</w:t>
            </w:r>
            <w:r>
              <w:t xml:space="preserve"> noteikum</w:t>
            </w:r>
            <w:r w:rsidR="465A9427">
              <w:t xml:space="preserve">i neatstās ietekmi uz </w:t>
            </w:r>
            <w:r>
              <w:t xml:space="preserve"> </w:t>
            </w:r>
            <w:r w:rsidR="102C1C76">
              <w:t xml:space="preserve">pašvaldības administratīvajām procedūrām un to izmaksām. </w:t>
            </w:r>
            <w:r>
              <w:t xml:space="preserve"> </w:t>
            </w:r>
          </w:p>
        </w:tc>
      </w:tr>
      <w:tr w:rsidR="00E94B74" w14:paraId="56B869E7" w14:textId="77777777" w:rsidTr="76563852">
        <w:tc>
          <w:tcPr>
            <w:tcW w:w="2025" w:type="dxa"/>
          </w:tcPr>
          <w:p w14:paraId="70C79713" w14:textId="64A60578" w:rsidR="00E94B74" w:rsidRDefault="00F43D71">
            <w:r>
              <w:t xml:space="preserve">5. </w:t>
            </w:r>
            <w:r w:rsidR="00E014B2">
              <w:t>Ietekme uz pašvaldības funkcijām un cilvēkresursiem</w:t>
            </w:r>
          </w:p>
        </w:tc>
        <w:tc>
          <w:tcPr>
            <w:tcW w:w="6271" w:type="dxa"/>
          </w:tcPr>
          <w:p w14:paraId="33FB9CBA" w14:textId="554B237B" w:rsidR="00E94B74" w:rsidRDefault="7CDE0469" w:rsidP="76563852">
            <w:pPr>
              <w:jc w:val="both"/>
            </w:pPr>
            <w:r>
              <w:t xml:space="preserve">Saistošie noteikumi neietekmēs pašvaldības funkcijas un cilvēkresursus. </w:t>
            </w:r>
          </w:p>
        </w:tc>
      </w:tr>
      <w:tr w:rsidR="00E014B2" w14:paraId="3A38D4D3" w14:textId="77777777" w:rsidTr="76563852">
        <w:tc>
          <w:tcPr>
            <w:tcW w:w="2025" w:type="dxa"/>
          </w:tcPr>
          <w:p w14:paraId="0D76272D" w14:textId="37D9AC6E" w:rsidR="00E014B2" w:rsidRDefault="00E014B2">
            <w:r>
              <w:t xml:space="preserve">6. </w:t>
            </w:r>
            <w:r w:rsidR="00A3582F">
              <w:t>Informācija par izpildes nodrošināšanu</w:t>
            </w:r>
          </w:p>
        </w:tc>
        <w:tc>
          <w:tcPr>
            <w:tcW w:w="6271" w:type="dxa"/>
          </w:tcPr>
          <w:p w14:paraId="08C9A12C" w14:textId="29B737AA" w:rsidR="00E014B2" w:rsidRDefault="2DFFF6D1" w:rsidP="76563852">
            <w:pPr>
              <w:jc w:val="both"/>
            </w:pPr>
            <w:r>
              <w:t xml:space="preserve">Saistošo noteikumu īstenošanai nav nepieciešams veidot jaunas institūcijas, likvidēt vai reorganizēt esošās. </w:t>
            </w:r>
          </w:p>
        </w:tc>
      </w:tr>
      <w:tr w:rsidR="00A3582F" w14:paraId="75B39C27" w14:textId="77777777" w:rsidTr="76563852">
        <w:tc>
          <w:tcPr>
            <w:tcW w:w="2025" w:type="dxa"/>
          </w:tcPr>
          <w:p w14:paraId="52620194" w14:textId="2CD7A876" w:rsidR="00A3582F" w:rsidRDefault="00A3582F">
            <w:r>
              <w:t xml:space="preserve">7. </w:t>
            </w:r>
            <w:r w:rsidR="001B247F">
              <w:t>Prasību un izmaksu samērīgums pret ieguvumiem</w:t>
            </w:r>
            <w:r w:rsidR="00395F81">
              <w:t>, ko sniedz mērķa sasniegšana</w:t>
            </w:r>
          </w:p>
        </w:tc>
        <w:tc>
          <w:tcPr>
            <w:tcW w:w="6271" w:type="dxa"/>
          </w:tcPr>
          <w:p w14:paraId="14E3795D" w14:textId="7295F604" w:rsidR="00A3582F" w:rsidRDefault="57366F02" w:rsidP="76563852">
            <w:pPr>
              <w:jc w:val="both"/>
            </w:pPr>
            <w:r>
              <w:t xml:space="preserve">Balstoties uz pašvaldības veikto analīzi par saistošajos noteikumos </w:t>
            </w:r>
            <w:r w:rsidR="332FE1D0">
              <w:t>ietvertās</w:t>
            </w:r>
            <w:r>
              <w:t xml:space="preserve"> teritorijas un vietu specifiskajām</w:t>
            </w:r>
            <w:r w:rsidR="7B232911">
              <w:t xml:space="preserve"> </w:t>
            </w:r>
            <w:r w:rsidR="628783A4">
              <w:t xml:space="preserve">īpašībām un </w:t>
            </w:r>
            <w:r>
              <w:t>funkcijā</w:t>
            </w:r>
            <w:r w:rsidR="266F6670">
              <w:t>m</w:t>
            </w:r>
            <w:r>
              <w:t xml:space="preserve"> un </w:t>
            </w:r>
            <w:r w:rsidR="39EC50FD">
              <w:t xml:space="preserve">vērtējot </w:t>
            </w:r>
            <w:r>
              <w:t>Cēsu novada</w:t>
            </w:r>
            <w:r w:rsidR="50252B00">
              <w:t xml:space="preserve"> attīstības mērķ</w:t>
            </w:r>
            <w:r w:rsidR="2B2A0C20">
              <w:t>us</w:t>
            </w:r>
            <w:r w:rsidR="50252B00">
              <w:t xml:space="preserve">, </w:t>
            </w:r>
            <w:r w:rsidR="75AEFA7E">
              <w:t xml:space="preserve">kā arī </w:t>
            </w:r>
            <w:r w:rsidR="558E3525">
              <w:t xml:space="preserve">apzinoties azartspēļu pakalpojumu sniedzēju likumīgās tiesības uz valstī atļautas uzņēmējdarbības formas realizēšanu, pašvaldība </w:t>
            </w:r>
            <w:r w:rsidR="531D71AC">
              <w:t>sabiedrības veselības interesēs ir radusi kompromisu, paredzot note</w:t>
            </w:r>
            <w:r w:rsidR="626720E4">
              <w:t>i</w:t>
            </w:r>
            <w:r w:rsidR="531D71AC">
              <w:t>ktā teritorijā azartspēļu izklaides ierobežojumu</w:t>
            </w:r>
            <w:r w:rsidR="762AD699">
              <w:t xml:space="preserve">, bet saglabājot iespēju azartspēļu vietas attīstīt citās pilsētas </w:t>
            </w:r>
            <w:r w:rsidR="2ADB428F">
              <w:t>teritorijās un vietās, kuras tiks ietvertas Cēsu pilsētas lokālplānojumā</w:t>
            </w:r>
            <w:r w:rsidR="762AD699">
              <w:t xml:space="preserve">. </w:t>
            </w:r>
            <w:r w:rsidR="531D71AC">
              <w:t xml:space="preserve"> </w:t>
            </w:r>
          </w:p>
        </w:tc>
      </w:tr>
      <w:tr w:rsidR="00E2647B" w14:paraId="34A941FA" w14:textId="77777777" w:rsidTr="76563852">
        <w:tc>
          <w:tcPr>
            <w:tcW w:w="2025" w:type="dxa"/>
          </w:tcPr>
          <w:p w14:paraId="0A053349" w14:textId="150848D7" w:rsidR="00E2647B" w:rsidRDefault="00E2647B">
            <w:r>
              <w:t xml:space="preserve">8. </w:t>
            </w:r>
            <w:r w:rsidR="001B247F">
              <w:t>Izstrādes gaitā veiktās konsultācijas ar privātpersonām un institūcijām</w:t>
            </w:r>
          </w:p>
        </w:tc>
        <w:tc>
          <w:tcPr>
            <w:tcW w:w="6271" w:type="dxa"/>
          </w:tcPr>
          <w:p w14:paraId="14AFDEC8" w14:textId="6512FBC1" w:rsidR="5EC4FA7B" w:rsidRDefault="5EC4FA7B" w:rsidP="76563852">
            <w:pPr>
              <w:jc w:val="both"/>
            </w:pPr>
            <w:r>
              <w:t xml:space="preserve">Saistošo noteikumu izstrādes gaitā 2023. gada </w:t>
            </w:r>
            <w:r w:rsidR="7CBFAB4A">
              <w:t xml:space="preserve">23.-29. </w:t>
            </w:r>
            <w:r>
              <w:t xml:space="preserve">oktobrī notika Cēsu novada iedzīvotāju aptauja, kuras ietvaros tika apkopots iedzīvotāju viedoklis par drošības situāciju spēļu zāļu tuvumā un lai </w:t>
            </w:r>
            <w:r>
              <w:lastRenderedPageBreak/>
              <w:t xml:space="preserve">noskaidrotu teritorijas un vietas, kuras nav piemērotas azartspēļu zālēm. </w:t>
            </w:r>
            <w:r w:rsidR="2D8228F5">
              <w:t xml:space="preserve"> </w:t>
            </w:r>
            <w:r w:rsidR="4EAD1F7F">
              <w:t xml:space="preserve"> </w:t>
            </w:r>
          </w:p>
          <w:p w14:paraId="319D0387" w14:textId="1CDAAAD7" w:rsidR="00E2647B" w:rsidRDefault="00E2647B" w:rsidP="76563852">
            <w:pPr>
              <w:ind w:left="720"/>
              <w:jc w:val="both"/>
              <w:rPr>
                <w:highlight w:val="yellow"/>
              </w:rPr>
            </w:pPr>
          </w:p>
          <w:p w14:paraId="048D1D4A" w14:textId="332DAD0E" w:rsidR="00E2647B" w:rsidRDefault="1BAEFB3F" w:rsidP="76563852">
            <w:pPr>
              <w:jc w:val="both"/>
            </w:pPr>
            <w:r>
              <w:t xml:space="preserve">Saistošo noteikumu projekts atzinuma sniegšanai </w:t>
            </w:r>
            <w:r w:rsidR="224BB61D">
              <w:t xml:space="preserve">tiks </w:t>
            </w:r>
            <w:r>
              <w:t xml:space="preserve">nosūtīts Ekonomikas ministrijai, Finanšu ministrijai, </w:t>
            </w:r>
            <w:r w:rsidR="34E27C71">
              <w:t>Latvijas</w:t>
            </w:r>
            <w:r w:rsidR="28B5F7CC">
              <w:t xml:space="preserve"> </w:t>
            </w:r>
            <w:r w:rsidR="34E27C71">
              <w:t xml:space="preserve">Pašvaldību savienībai, </w:t>
            </w:r>
            <w:r w:rsidR="28B5F7CC">
              <w:t>Latvijas Spēļu biznesa asociācijai</w:t>
            </w:r>
            <w:r w:rsidR="567E50E0">
              <w:t xml:space="preserve"> un biedrībai “Skalbes". </w:t>
            </w:r>
          </w:p>
        </w:tc>
      </w:tr>
      <w:tr w:rsidR="00395F81" w14:paraId="272B141F" w14:textId="77777777" w:rsidTr="76563852">
        <w:tc>
          <w:tcPr>
            <w:tcW w:w="2025" w:type="dxa"/>
          </w:tcPr>
          <w:p w14:paraId="69FAC063" w14:textId="07ED1D00" w:rsidR="00395F81" w:rsidRDefault="00395F81">
            <w:r>
              <w:lastRenderedPageBreak/>
              <w:t>9. Informācija par sabiedrības izteiktajiem viedokļiem</w:t>
            </w:r>
            <w:r w:rsidR="00210067">
              <w:t xml:space="preserve"> par saistošo noteikumu projektu</w:t>
            </w:r>
          </w:p>
        </w:tc>
        <w:tc>
          <w:tcPr>
            <w:tcW w:w="6271" w:type="dxa"/>
          </w:tcPr>
          <w:p w14:paraId="6DC2199E" w14:textId="12329F08" w:rsidR="00395F81" w:rsidRDefault="0B3DD76D" w:rsidP="76563852">
            <w:pPr>
              <w:spacing w:line="259" w:lineRule="auto"/>
              <w:jc w:val="both"/>
            </w:pPr>
            <w:r>
              <w:t>Cēsu novada iedzīvotāju aptauj</w:t>
            </w:r>
            <w:r w:rsidR="21B54BAD">
              <w:t>ā</w:t>
            </w:r>
            <w:r>
              <w:t xml:space="preserve"> piedalījās 797 iedzīvotāji, ko kuriem vairāk nekā puse (67%) atzīmēja, ka ir novērojuši sabiedriskās kārtības pārkāpumus spēļu zāļu tuvumā un sajutuši personisku apdraudējumu (57%). 7 no 10 aptaujātajiem azartspēles vērtē negatīvi.</w:t>
            </w:r>
          </w:p>
          <w:p w14:paraId="4318222F" w14:textId="4A583E11" w:rsidR="00395F81" w:rsidRDefault="00395F81" w:rsidP="76563852">
            <w:pPr>
              <w:ind w:left="720"/>
              <w:jc w:val="both"/>
            </w:pPr>
          </w:p>
          <w:p w14:paraId="53B378B8" w14:textId="3DE32036" w:rsidR="00395F81" w:rsidRDefault="0B3DD76D" w:rsidP="76563852">
            <w:pPr>
              <w:jc w:val="both"/>
            </w:pPr>
            <w:r>
              <w:t>Vairāk nekā 70% aptaujāto uzskata, ka azartspēles ir jāierobežo sporta un bērnu rotaļu laukumu, kā arī izglītības iestāžu tuvumā.  68% uzskata, ka azartspēļu zāles nevar atrasties vecpilsētā un 56% - valsts un pašvaldības pakalpojumu saņemšanas vietās.</w:t>
            </w:r>
          </w:p>
        </w:tc>
      </w:tr>
    </w:tbl>
    <w:p w14:paraId="669ED11F" w14:textId="77777777" w:rsidR="00E2623E" w:rsidRDefault="00E2623E"/>
    <w:p w14:paraId="20CD7521" w14:textId="54F4E068" w:rsidR="00ED45A2" w:rsidRPr="00457D12" w:rsidRDefault="00802E35">
      <w:pPr>
        <w:rPr>
          <w:color w:val="000000" w:themeColor="text1"/>
        </w:rPr>
      </w:pPr>
      <w:r>
        <w:t xml:space="preserve">Pielikums nr. 1. - </w:t>
      </w:r>
      <w:r w:rsidRPr="76563852">
        <w:rPr>
          <w:color w:val="000000" w:themeColor="text1"/>
        </w:rPr>
        <w:t>Cēsu pilsētas vēsturiskais centr</w:t>
      </w:r>
      <w:r>
        <w:rPr>
          <w:color w:val="000000" w:themeColor="text1"/>
        </w:rPr>
        <w:t>s</w:t>
      </w:r>
      <w:r w:rsidRPr="76563852">
        <w:rPr>
          <w:color w:val="000000" w:themeColor="text1"/>
        </w:rPr>
        <w:t xml:space="preserve">, </w:t>
      </w:r>
      <w:r w:rsidRPr="76563852">
        <w:rPr>
          <w:rFonts w:ascii="Calibri" w:eastAsia="Calibri" w:hAnsi="Calibri" w:cs="Calibri"/>
          <w:color w:val="000000" w:themeColor="text1"/>
        </w:rPr>
        <w:t xml:space="preserve">valsts nozīmes pilsētbūvniecības pieminekļa teritorijā nr. </w:t>
      </w:r>
      <w:r w:rsidRPr="25A81C58">
        <w:rPr>
          <w:rFonts w:ascii="Calibri" w:eastAsia="Calibri" w:hAnsi="Calibri" w:cs="Calibri"/>
          <w:color w:val="000000" w:themeColor="text1"/>
        </w:rPr>
        <w:t xml:space="preserve">7426 </w:t>
      </w:r>
      <w:r w:rsidRPr="25A81C58">
        <w:rPr>
          <w:color w:val="000000" w:themeColor="text1"/>
        </w:rPr>
        <w:t>un t</w:t>
      </w:r>
      <w:r w:rsidR="7E4B2106" w:rsidRPr="25A81C58">
        <w:rPr>
          <w:color w:val="000000" w:themeColor="text1"/>
        </w:rPr>
        <w:t>ā aizsargzona</w:t>
      </w:r>
    </w:p>
    <w:p w14:paraId="542C0BD9" w14:textId="007DDF41" w:rsidR="00074EDF" w:rsidRPr="00074EDF" w:rsidRDefault="00074EDF" w:rsidP="00074EDF">
      <w:pPr>
        <w:rPr>
          <w:lang w:val="en-US"/>
        </w:rPr>
      </w:pPr>
      <w:r w:rsidRPr="00074EDF">
        <w:rPr>
          <w:lang w:val="en-US"/>
        </w:rPr>
        <w:drawing>
          <wp:inline distT="0" distB="0" distL="0" distR="0" wp14:anchorId="6538EEBF" wp14:editId="4BD6F69C">
            <wp:extent cx="5274310" cy="3729355"/>
            <wp:effectExtent l="0" t="0" r="2540" b="4445"/>
            <wp:docPr id="44468609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86093" name="Picture 1" descr="A map of a cit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729355"/>
                    </a:xfrm>
                    <a:prstGeom prst="rect">
                      <a:avLst/>
                    </a:prstGeom>
                    <a:noFill/>
                    <a:ln>
                      <a:noFill/>
                    </a:ln>
                  </pic:spPr>
                </pic:pic>
              </a:graphicData>
            </a:graphic>
          </wp:inline>
        </w:drawing>
      </w:r>
    </w:p>
    <w:p w14:paraId="39DD03B5" w14:textId="2483266F" w:rsidR="7E4B2106" w:rsidRDefault="7E4B2106" w:rsidP="25A81C58">
      <w:r>
        <w:br/>
      </w:r>
    </w:p>
    <w:p w14:paraId="4D13C676" w14:textId="4599DF64" w:rsidR="00405996" w:rsidRDefault="00FF7286">
      <w:r>
        <w:t xml:space="preserve">Pielikums nr. </w:t>
      </w:r>
      <w:r w:rsidR="00802E35">
        <w:t>2.</w:t>
      </w:r>
      <w:r w:rsidR="003A7B71">
        <w:t xml:space="preserve"> – teritorijas, kas atrod</w:t>
      </w:r>
      <w:r w:rsidR="003F1B01">
        <w:t>a</w:t>
      </w:r>
      <w:r w:rsidR="003A7B71">
        <w:t xml:space="preserve">s 250 m attāluma no </w:t>
      </w:r>
      <w:r w:rsidR="00802E35">
        <w:t xml:space="preserve">pirmsskolas, pamata un vidējās </w:t>
      </w:r>
      <w:r w:rsidR="003A7B71">
        <w:t>izglītības iestādēm</w:t>
      </w:r>
    </w:p>
    <w:p w14:paraId="3515EE00" w14:textId="3522F706" w:rsidR="00074EDF" w:rsidRDefault="00074EDF" w:rsidP="00074EDF">
      <w:pPr>
        <w:pStyle w:val="NormalWeb"/>
      </w:pPr>
      <w:r>
        <w:rPr>
          <w:noProof/>
        </w:rPr>
        <w:lastRenderedPageBreak/>
        <w:drawing>
          <wp:inline distT="0" distB="0" distL="0" distR="0" wp14:anchorId="7268AF31" wp14:editId="5F9E029C">
            <wp:extent cx="5274310" cy="3729355"/>
            <wp:effectExtent l="0" t="0" r="2540" b="4445"/>
            <wp:docPr id="1497762850" name="Picture 2" descr="A map with circl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62850" name="Picture 2" descr="A map with circles and number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729355"/>
                    </a:xfrm>
                    <a:prstGeom prst="rect">
                      <a:avLst/>
                    </a:prstGeom>
                    <a:noFill/>
                    <a:ln>
                      <a:noFill/>
                    </a:ln>
                  </pic:spPr>
                </pic:pic>
              </a:graphicData>
            </a:graphic>
          </wp:inline>
        </w:drawing>
      </w:r>
    </w:p>
    <w:p w14:paraId="318C6689" w14:textId="01F811E4" w:rsidR="00FF7286" w:rsidRDefault="00FF7286"/>
    <w:p w14:paraId="4F43296C" w14:textId="46C867A0" w:rsidR="003F1B01" w:rsidRDefault="003F1B01"/>
    <w:p w14:paraId="0A41610C" w14:textId="28B84805" w:rsidR="00F30780" w:rsidRDefault="00ED45A2">
      <w:r>
        <w:t xml:space="preserve">Pielikums nr. 3. </w:t>
      </w:r>
      <w:r w:rsidR="41996C59">
        <w:t>- kopējā teritorija Cēsu pilsētā, kurā aizliegts izvietot azartspēļu zāles</w:t>
      </w:r>
    </w:p>
    <w:p w14:paraId="44EFE9ED" w14:textId="61041561" w:rsidR="00F30780" w:rsidRDefault="00074EDF" w:rsidP="00074EDF">
      <w:pPr>
        <w:pStyle w:val="NormalWeb"/>
      </w:pPr>
      <w:r>
        <w:rPr>
          <w:noProof/>
        </w:rPr>
        <w:drawing>
          <wp:inline distT="0" distB="0" distL="0" distR="0" wp14:anchorId="01E45735" wp14:editId="74B5056C">
            <wp:extent cx="5274310" cy="3729355"/>
            <wp:effectExtent l="0" t="0" r="2540" b="4445"/>
            <wp:docPr id="1447733530"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33530" name="Picture 3" descr="A map of a cit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729355"/>
                    </a:xfrm>
                    <a:prstGeom prst="rect">
                      <a:avLst/>
                    </a:prstGeom>
                    <a:noFill/>
                    <a:ln>
                      <a:noFill/>
                    </a:ln>
                  </pic:spPr>
                </pic:pic>
              </a:graphicData>
            </a:graphic>
          </wp:inline>
        </w:drawing>
      </w:r>
    </w:p>
    <w:sectPr w:rsidR="00F30780">
      <w:footerReference w:type="defaul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66426" w14:textId="77777777" w:rsidR="00281CB8" w:rsidRDefault="00281CB8">
      <w:pPr>
        <w:spacing w:after="0" w:line="240" w:lineRule="auto"/>
      </w:pPr>
      <w:r>
        <w:separator/>
      </w:r>
    </w:p>
  </w:endnote>
  <w:endnote w:type="continuationSeparator" w:id="0">
    <w:p w14:paraId="255A8225" w14:textId="77777777" w:rsidR="00281CB8" w:rsidRDefault="00281CB8">
      <w:pPr>
        <w:spacing w:after="0" w:line="240" w:lineRule="auto"/>
      </w:pPr>
      <w:r>
        <w:continuationSeparator/>
      </w:r>
    </w:p>
  </w:endnote>
  <w:endnote w:type="continuationNotice" w:id="1">
    <w:p w14:paraId="4B451313" w14:textId="77777777" w:rsidR="00281CB8" w:rsidRDefault="00281C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942914"/>
      <w:docPartObj>
        <w:docPartGallery w:val="Page Numbers (Bottom of Page)"/>
        <w:docPartUnique/>
      </w:docPartObj>
    </w:sdtPr>
    <w:sdtContent>
      <w:p w14:paraId="15190D22" w14:textId="5BDD4365" w:rsidR="00BB7311" w:rsidRDefault="00BB7311">
        <w:pPr>
          <w:pStyle w:val="Footer"/>
          <w:jc w:val="center"/>
        </w:pPr>
        <w:r>
          <w:fldChar w:fldCharType="begin"/>
        </w:r>
        <w:r>
          <w:instrText>PAGE   \* MERGEFORMAT</w:instrText>
        </w:r>
        <w:r>
          <w:fldChar w:fldCharType="separate"/>
        </w:r>
        <w:r>
          <w:t>2</w:t>
        </w:r>
        <w:r>
          <w:fldChar w:fldCharType="end"/>
        </w:r>
      </w:p>
    </w:sdtContent>
  </w:sdt>
  <w:p w14:paraId="3C65FF5A" w14:textId="77777777" w:rsidR="00BB7311" w:rsidRDefault="00BB73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05619" w14:textId="77777777" w:rsidR="00281CB8" w:rsidRDefault="00281CB8">
      <w:pPr>
        <w:spacing w:after="0" w:line="240" w:lineRule="auto"/>
      </w:pPr>
      <w:r>
        <w:separator/>
      </w:r>
    </w:p>
  </w:footnote>
  <w:footnote w:type="continuationSeparator" w:id="0">
    <w:p w14:paraId="1E79B668" w14:textId="77777777" w:rsidR="00281CB8" w:rsidRDefault="00281CB8">
      <w:pPr>
        <w:spacing w:after="0" w:line="240" w:lineRule="auto"/>
      </w:pPr>
      <w:r>
        <w:continuationSeparator/>
      </w:r>
    </w:p>
  </w:footnote>
  <w:footnote w:type="continuationNotice" w:id="1">
    <w:p w14:paraId="3A5D7DEF" w14:textId="77777777" w:rsidR="00281CB8" w:rsidRDefault="00281CB8">
      <w:pPr>
        <w:spacing w:after="0" w:line="240" w:lineRule="auto"/>
      </w:pPr>
    </w:p>
  </w:footnote>
  <w:footnote w:id="2">
    <w:p w14:paraId="76D9394D" w14:textId="77777777" w:rsidR="008C1D60" w:rsidRDefault="008C1D60" w:rsidP="008C1D60">
      <w:pPr>
        <w:pStyle w:val="FootnoteText"/>
      </w:pPr>
      <w:r w:rsidRPr="76563852">
        <w:rPr>
          <w:rStyle w:val="FootnoteReference"/>
        </w:rPr>
        <w:footnoteRef/>
      </w:r>
      <w:r>
        <w:t xml:space="preserve"> </w:t>
      </w:r>
      <w:r w:rsidRPr="76563852">
        <w:rPr>
          <w:rFonts w:ascii="Arial" w:eastAsia="Arial" w:hAnsi="Arial" w:cs="Arial"/>
          <w:color w:val="414142"/>
          <w:sz w:val="19"/>
          <w:szCs w:val="19"/>
        </w:rPr>
        <w:t xml:space="preserve">Finanšu ministrijas izstrādātais pamatnostādņu projekts "Azartspēļu un izložu politikas pamatnostādnes </w:t>
      </w:r>
      <w:hyperlink r:id="rId1" w:anchor="p2021">
        <w:r w:rsidRPr="76563852">
          <w:rPr>
            <w:rStyle w:val="Hyperlink"/>
            <w:rFonts w:ascii="Arial" w:eastAsia="Arial" w:hAnsi="Arial" w:cs="Arial"/>
            <w:color w:val="16497B"/>
            <w:sz w:val="19"/>
            <w:szCs w:val="19"/>
            <w:u w:val="none"/>
          </w:rPr>
          <w:t>2021.</w:t>
        </w:r>
      </w:hyperlink>
      <w:r w:rsidRPr="76563852">
        <w:rPr>
          <w:rFonts w:ascii="Arial" w:eastAsia="Arial" w:hAnsi="Arial" w:cs="Arial"/>
          <w:color w:val="414142"/>
          <w:sz w:val="19"/>
          <w:szCs w:val="19"/>
        </w:rPr>
        <w:t>–2027. gadam", pieejams http://tap.mk.gov.lv/mk/tap/?pid=40468195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50C97"/>
    <w:multiLevelType w:val="hybridMultilevel"/>
    <w:tmpl w:val="57722C8A"/>
    <w:lvl w:ilvl="0" w:tplc="CFDA921A">
      <w:start w:val="1"/>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96A6F14"/>
    <w:multiLevelType w:val="hybridMultilevel"/>
    <w:tmpl w:val="4D4839F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3F1CAB8E"/>
    <w:multiLevelType w:val="hybridMultilevel"/>
    <w:tmpl w:val="28EC3BF8"/>
    <w:lvl w:ilvl="0" w:tplc="0B40FBC4">
      <w:start w:val="1"/>
      <w:numFmt w:val="bullet"/>
      <w:lvlText w:val="-"/>
      <w:lvlJc w:val="left"/>
      <w:pPr>
        <w:ind w:left="1080" w:hanging="360"/>
      </w:pPr>
      <w:rPr>
        <w:rFonts w:ascii="Calibri" w:hAnsi="Calibri" w:hint="default"/>
      </w:rPr>
    </w:lvl>
    <w:lvl w:ilvl="1" w:tplc="2996B3CE">
      <w:start w:val="1"/>
      <w:numFmt w:val="bullet"/>
      <w:lvlText w:val="o"/>
      <w:lvlJc w:val="left"/>
      <w:pPr>
        <w:ind w:left="1800" w:hanging="360"/>
      </w:pPr>
      <w:rPr>
        <w:rFonts w:ascii="Courier New" w:hAnsi="Courier New" w:hint="default"/>
      </w:rPr>
    </w:lvl>
    <w:lvl w:ilvl="2" w:tplc="85D22A20">
      <w:start w:val="1"/>
      <w:numFmt w:val="bullet"/>
      <w:lvlText w:val=""/>
      <w:lvlJc w:val="left"/>
      <w:pPr>
        <w:ind w:left="2520" w:hanging="360"/>
      </w:pPr>
      <w:rPr>
        <w:rFonts w:ascii="Wingdings" w:hAnsi="Wingdings" w:hint="default"/>
      </w:rPr>
    </w:lvl>
    <w:lvl w:ilvl="3" w:tplc="72ACA8BE">
      <w:start w:val="1"/>
      <w:numFmt w:val="bullet"/>
      <w:lvlText w:val=""/>
      <w:lvlJc w:val="left"/>
      <w:pPr>
        <w:ind w:left="3240" w:hanging="360"/>
      </w:pPr>
      <w:rPr>
        <w:rFonts w:ascii="Symbol" w:hAnsi="Symbol" w:hint="default"/>
      </w:rPr>
    </w:lvl>
    <w:lvl w:ilvl="4" w:tplc="F02C8C18">
      <w:start w:val="1"/>
      <w:numFmt w:val="bullet"/>
      <w:lvlText w:val="o"/>
      <w:lvlJc w:val="left"/>
      <w:pPr>
        <w:ind w:left="3960" w:hanging="360"/>
      </w:pPr>
      <w:rPr>
        <w:rFonts w:ascii="Courier New" w:hAnsi="Courier New" w:hint="default"/>
      </w:rPr>
    </w:lvl>
    <w:lvl w:ilvl="5" w:tplc="FD52CFB6">
      <w:start w:val="1"/>
      <w:numFmt w:val="bullet"/>
      <w:lvlText w:val=""/>
      <w:lvlJc w:val="left"/>
      <w:pPr>
        <w:ind w:left="4680" w:hanging="360"/>
      </w:pPr>
      <w:rPr>
        <w:rFonts w:ascii="Wingdings" w:hAnsi="Wingdings" w:hint="default"/>
      </w:rPr>
    </w:lvl>
    <w:lvl w:ilvl="6" w:tplc="1220C096">
      <w:start w:val="1"/>
      <w:numFmt w:val="bullet"/>
      <w:lvlText w:val=""/>
      <w:lvlJc w:val="left"/>
      <w:pPr>
        <w:ind w:left="5400" w:hanging="360"/>
      </w:pPr>
      <w:rPr>
        <w:rFonts w:ascii="Symbol" w:hAnsi="Symbol" w:hint="default"/>
      </w:rPr>
    </w:lvl>
    <w:lvl w:ilvl="7" w:tplc="D61682DC">
      <w:start w:val="1"/>
      <w:numFmt w:val="bullet"/>
      <w:lvlText w:val="o"/>
      <w:lvlJc w:val="left"/>
      <w:pPr>
        <w:ind w:left="6120" w:hanging="360"/>
      </w:pPr>
      <w:rPr>
        <w:rFonts w:ascii="Courier New" w:hAnsi="Courier New" w:hint="default"/>
      </w:rPr>
    </w:lvl>
    <w:lvl w:ilvl="8" w:tplc="D7B253AA">
      <w:start w:val="1"/>
      <w:numFmt w:val="bullet"/>
      <w:lvlText w:val=""/>
      <w:lvlJc w:val="left"/>
      <w:pPr>
        <w:ind w:left="6840" w:hanging="360"/>
      </w:pPr>
      <w:rPr>
        <w:rFonts w:ascii="Wingdings" w:hAnsi="Wingdings" w:hint="default"/>
      </w:rPr>
    </w:lvl>
  </w:abstractNum>
  <w:abstractNum w:abstractNumId="3" w15:restartNumberingAfterBreak="0">
    <w:nsid w:val="462711B5"/>
    <w:multiLevelType w:val="hybridMultilevel"/>
    <w:tmpl w:val="E7261EC6"/>
    <w:lvl w:ilvl="0" w:tplc="0426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4" w15:restartNumberingAfterBreak="0">
    <w:nsid w:val="55A72ACC"/>
    <w:multiLevelType w:val="hybridMultilevel"/>
    <w:tmpl w:val="BAA6FFD0"/>
    <w:lvl w:ilvl="0" w:tplc="2DDE1086">
      <w:start w:val="1"/>
      <w:numFmt w:val="bullet"/>
      <w:lvlText w:val="-"/>
      <w:lvlJc w:val="left"/>
      <w:pPr>
        <w:ind w:left="1080" w:hanging="360"/>
      </w:pPr>
      <w:rPr>
        <w:rFonts w:ascii="Calibri" w:hAnsi="Calibri" w:hint="default"/>
      </w:rPr>
    </w:lvl>
    <w:lvl w:ilvl="1" w:tplc="59BCF514" w:tentative="1">
      <w:start w:val="1"/>
      <w:numFmt w:val="bullet"/>
      <w:lvlText w:val="o"/>
      <w:lvlJc w:val="left"/>
      <w:pPr>
        <w:ind w:left="1800" w:hanging="360"/>
      </w:pPr>
      <w:rPr>
        <w:rFonts w:ascii="Courier New" w:hAnsi="Courier New" w:hint="default"/>
      </w:rPr>
    </w:lvl>
    <w:lvl w:ilvl="2" w:tplc="A22627F4" w:tentative="1">
      <w:start w:val="1"/>
      <w:numFmt w:val="bullet"/>
      <w:lvlText w:val=""/>
      <w:lvlJc w:val="left"/>
      <w:pPr>
        <w:ind w:left="2520" w:hanging="360"/>
      </w:pPr>
      <w:rPr>
        <w:rFonts w:ascii="Wingdings" w:hAnsi="Wingdings" w:hint="default"/>
      </w:rPr>
    </w:lvl>
    <w:lvl w:ilvl="3" w:tplc="170A2984" w:tentative="1">
      <w:start w:val="1"/>
      <w:numFmt w:val="bullet"/>
      <w:lvlText w:val=""/>
      <w:lvlJc w:val="left"/>
      <w:pPr>
        <w:ind w:left="3240" w:hanging="360"/>
      </w:pPr>
      <w:rPr>
        <w:rFonts w:ascii="Symbol" w:hAnsi="Symbol" w:hint="default"/>
      </w:rPr>
    </w:lvl>
    <w:lvl w:ilvl="4" w:tplc="F86E3F0A" w:tentative="1">
      <w:start w:val="1"/>
      <w:numFmt w:val="bullet"/>
      <w:lvlText w:val="o"/>
      <w:lvlJc w:val="left"/>
      <w:pPr>
        <w:ind w:left="3960" w:hanging="360"/>
      </w:pPr>
      <w:rPr>
        <w:rFonts w:ascii="Courier New" w:hAnsi="Courier New" w:hint="default"/>
      </w:rPr>
    </w:lvl>
    <w:lvl w:ilvl="5" w:tplc="C1A202B0" w:tentative="1">
      <w:start w:val="1"/>
      <w:numFmt w:val="bullet"/>
      <w:lvlText w:val=""/>
      <w:lvlJc w:val="left"/>
      <w:pPr>
        <w:ind w:left="4680" w:hanging="360"/>
      </w:pPr>
      <w:rPr>
        <w:rFonts w:ascii="Wingdings" w:hAnsi="Wingdings" w:hint="default"/>
      </w:rPr>
    </w:lvl>
    <w:lvl w:ilvl="6" w:tplc="5D2E1D46" w:tentative="1">
      <w:start w:val="1"/>
      <w:numFmt w:val="bullet"/>
      <w:lvlText w:val=""/>
      <w:lvlJc w:val="left"/>
      <w:pPr>
        <w:ind w:left="5400" w:hanging="360"/>
      </w:pPr>
      <w:rPr>
        <w:rFonts w:ascii="Symbol" w:hAnsi="Symbol" w:hint="default"/>
      </w:rPr>
    </w:lvl>
    <w:lvl w:ilvl="7" w:tplc="5EC073BC" w:tentative="1">
      <w:start w:val="1"/>
      <w:numFmt w:val="bullet"/>
      <w:lvlText w:val="o"/>
      <w:lvlJc w:val="left"/>
      <w:pPr>
        <w:ind w:left="6120" w:hanging="360"/>
      </w:pPr>
      <w:rPr>
        <w:rFonts w:ascii="Courier New" w:hAnsi="Courier New" w:hint="default"/>
      </w:rPr>
    </w:lvl>
    <w:lvl w:ilvl="8" w:tplc="87485A62" w:tentative="1">
      <w:start w:val="1"/>
      <w:numFmt w:val="bullet"/>
      <w:lvlText w:val=""/>
      <w:lvlJc w:val="left"/>
      <w:pPr>
        <w:ind w:left="6840" w:hanging="360"/>
      </w:pPr>
      <w:rPr>
        <w:rFonts w:ascii="Wingdings" w:hAnsi="Wingdings" w:hint="default"/>
      </w:rPr>
    </w:lvl>
  </w:abstractNum>
  <w:abstractNum w:abstractNumId="5" w15:restartNumberingAfterBreak="0">
    <w:nsid w:val="6F90E6DB"/>
    <w:multiLevelType w:val="hybridMultilevel"/>
    <w:tmpl w:val="66261BAC"/>
    <w:lvl w:ilvl="0" w:tplc="D56C473A">
      <w:start w:val="1"/>
      <w:numFmt w:val="bullet"/>
      <w:lvlText w:val="-"/>
      <w:lvlJc w:val="left"/>
      <w:pPr>
        <w:ind w:left="720" w:hanging="360"/>
      </w:pPr>
      <w:rPr>
        <w:rFonts w:ascii="Calibri" w:hAnsi="Calibri" w:hint="default"/>
      </w:rPr>
    </w:lvl>
    <w:lvl w:ilvl="1" w:tplc="038206A6">
      <w:start w:val="1"/>
      <w:numFmt w:val="bullet"/>
      <w:lvlText w:val="o"/>
      <w:lvlJc w:val="left"/>
      <w:pPr>
        <w:ind w:left="1440" w:hanging="360"/>
      </w:pPr>
      <w:rPr>
        <w:rFonts w:ascii="Courier New" w:hAnsi="Courier New" w:hint="default"/>
      </w:rPr>
    </w:lvl>
    <w:lvl w:ilvl="2" w:tplc="9104BFAA">
      <w:start w:val="1"/>
      <w:numFmt w:val="bullet"/>
      <w:lvlText w:val=""/>
      <w:lvlJc w:val="left"/>
      <w:pPr>
        <w:ind w:left="2160" w:hanging="360"/>
      </w:pPr>
      <w:rPr>
        <w:rFonts w:ascii="Wingdings" w:hAnsi="Wingdings" w:hint="default"/>
      </w:rPr>
    </w:lvl>
    <w:lvl w:ilvl="3" w:tplc="5C5826DC">
      <w:start w:val="1"/>
      <w:numFmt w:val="bullet"/>
      <w:lvlText w:val=""/>
      <w:lvlJc w:val="left"/>
      <w:pPr>
        <w:ind w:left="2880" w:hanging="360"/>
      </w:pPr>
      <w:rPr>
        <w:rFonts w:ascii="Symbol" w:hAnsi="Symbol" w:hint="default"/>
      </w:rPr>
    </w:lvl>
    <w:lvl w:ilvl="4" w:tplc="21E243C2">
      <w:start w:val="1"/>
      <w:numFmt w:val="bullet"/>
      <w:lvlText w:val="o"/>
      <w:lvlJc w:val="left"/>
      <w:pPr>
        <w:ind w:left="3600" w:hanging="360"/>
      </w:pPr>
      <w:rPr>
        <w:rFonts w:ascii="Courier New" w:hAnsi="Courier New" w:hint="default"/>
      </w:rPr>
    </w:lvl>
    <w:lvl w:ilvl="5" w:tplc="C9F0AE80">
      <w:start w:val="1"/>
      <w:numFmt w:val="bullet"/>
      <w:lvlText w:val=""/>
      <w:lvlJc w:val="left"/>
      <w:pPr>
        <w:ind w:left="4320" w:hanging="360"/>
      </w:pPr>
      <w:rPr>
        <w:rFonts w:ascii="Wingdings" w:hAnsi="Wingdings" w:hint="default"/>
      </w:rPr>
    </w:lvl>
    <w:lvl w:ilvl="6" w:tplc="0B889E04">
      <w:start w:val="1"/>
      <w:numFmt w:val="bullet"/>
      <w:lvlText w:val=""/>
      <w:lvlJc w:val="left"/>
      <w:pPr>
        <w:ind w:left="5040" w:hanging="360"/>
      </w:pPr>
      <w:rPr>
        <w:rFonts w:ascii="Symbol" w:hAnsi="Symbol" w:hint="default"/>
      </w:rPr>
    </w:lvl>
    <w:lvl w:ilvl="7" w:tplc="7D06BADE">
      <w:start w:val="1"/>
      <w:numFmt w:val="bullet"/>
      <w:lvlText w:val="o"/>
      <w:lvlJc w:val="left"/>
      <w:pPr>
        <w:ind w:left="5760" w:hanging="360"/>
      </w:pPr>
      <w:rPr>
        <w:rFonts w:ascii="Courier New" w:hAnsi="Courier New" w:hint="default"/>
      </w:rPr>
    </w:lvl>
    <w:lvl w:ilvl="8" w:tplc="7FFE9312">
      <w:start w:val="1"/>
      <w:numFmt w:val="bullet"/>
      <w:lvlText w:val=""/>
      <w:lvlJc w:val="left"/>
      <w:pPr>
        <w:ind w:left="6480" w:hanging="360"/>
      </w:pPr>
      <w:rPr>
        <w:rFonts w:ascii="Wingdings" w:hAnsi="Wingdings" w:hint="default"/>
      </w:rPr>
    </w:lvl>
  </w:abstractNum>
  <w:abstractNum w:abstractNumId="6" w15:restartNumberingAfterBreak="0">
    <w:nsid w:val="70511DEF"/>
    <w:multiLevelType w:val="hybridMultilevel"/>
    <w:tmpl w:val="EE1079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723CD83D"/>
    <w:multiLevelType w:val="hybridMultilevel"/>
    <w:tmpl w:val="31527B12"/>
    <w:lvl w:ilvl="0" w:tplc="F7F2B86E">
      <w:start w:val="1"/>
      <w:numFmt w:val="bullet"/>
      <w:lvlText w:val="-"/>
      <w:lvlJc w:val="left"/>
      <w:pPr>
        <w:ind w:left="720" w:hanging="360"/>
      </w:pPr>
      <w:rPr>
        <w:rFonts w:ascii="Calibri" w:hAnsi="Calibri" w:hint="default"/>
      </w:rPr>
    </w:lvl>
    <w:lvl w:ilvl="1" w:tplc="DB8E67C6">
      <w:start w:val="1"/>
      <w:numFmt w:val="bullet"/>
      <w:lvlText w:val="o"/>
      <w:lvlJc w:val="left"/>
      <w:pPr>
        <w:ind w:left="1440" w:hanging="360"/>
      </w:pPr>
      <w:rPr>
        <w:rFonts w:ascii="Courier New" w:hAnsi="Courier New" w:hint="default"/>
      </w:rPr>
    </w:lvl>
    <w:lvl w:ilvl="2" w:tplc="A998C444">
      <w:start w:val="1"/>
      <w:numFmt w:val="bullet"/>
      <w:lvlText w:val=""/>
      <w:lvlJc w:val="left"/>
      <w:pPr>
        <w:ind w:left="2160" w:hanging="360"/>
      </w:pPr>
      <w:rPr>
        <w:rFonts w:ascii="Wingdings" w:hAnsi="Wingdings" w:hint="default"/>
      </w:rPr>
    </w:lvl>
    <w:lvl w:ilvl="3" w:tplc="D97AA208">
      <w:start w:val="1"/>
      <w:numFmt w:val="bullet"/>
      <w:lvlText w:val=""/>
      <w:lvlJc w:val="left"/>
      <w:pPr>
        <w:ind w:left="2880" w:hanging="360"/>
      </w:pPr>
      <w:rPr>
        <w:rFonts w:ascii="Symbol" w:hAnsi="Symbol" w:hint="default"/>
      </w:rPr>
    </w:lvl>
    <w:lvl w:ilvl="4" w:tplc="75A48E7C">
      <w:start w:val="1"/>
      <w:numFmt w:val="bullet"/>
      <w:lvlText w:val="o"/>
      <w:lvlJc w:val="left"/>
      <w:pPr>
        <w:ind w:left="3600" w:hanging="360"/>
      </w:pPr>
      <w:rPr>
        <w:rFonts w:ascii="Courier New" w:hAnsi="Courier New" w:hint="default"/>
      </w:rPr>
    </w:lvl>
    <w:lvl w:ilvl="5" w:tplc="CD747BBA">
      <w:start w:val="1"/>
      <w:numFmt w:val="bullet"/>
      <w:lvlText w:val=""/>
      <w:lvlJc w:val="left"/>
      <w:pPr>
        <w:ind w:left="4320" w:hanging="360"/>
      </w:pPr>
      <w:rPr>
        <w:rFonts w:ascii="Wingdings" w:hAnsi="Wingdings" w:hint="default"/>
      </w:rPr>
    </w:lvl>
    <w:lvl w:ilvl="6" w:tplc="10F4B9B2">
      <w:start w:val="1"/>
      <w:numFmt w:val="bullet"/>
      <w:lvlText w:val=""/>
      <w:lvlJc w:val="left"/>
      <w:pPr>
        <w:ind w:left="5040" w:hanging="360"/>
      </w:pPr>
      <w:rPr>
        <w:rFonts w:ascii="Symbol" w:hAnsi="Symbol" w:hint="default"/>
      </w:rPr>
    </w:lvl>
    <w:lvl w:ilvl="7" w:tplc="74740CC6">
      <w:start w:val="1"/>
      <w:numFmt w:val="bullet"/>
      <w:lvlText w:val="o"/>
      <w:lvlJc w:val="left"/>
      <w:pPr>
        <w:ind w:left="5760" w:hanging="360"/>
      </w:pPr>
      <w:rPr>
        <w:rFonts w:ascii="Courier New" w:hAnsi="Courier New" w:hint="default"/>
      </w:rPr>
    </w:lvl>
    <w:lvl w:ilvl="8" w:tplc="585404CA">
      <w:start w:val="1"/>
      <w:numFmt w:val="bullet"/>
      <w:lvlText w:val=""/>
      <w:lvlJc w:val="left"/>
      <w:pPr>
        <w:ind w:left="6480" w:hanging="360"/>
      </w:pPr>
      <w:rPr>
        <w:rFonts w:ascii="Wingdings" w:hAnsi="Wingdings" w:hint="default"/>
      </w:rPr>
    </w:lvl>
  </w:abstractNum>
  <w:num w:numId="1" w16cid:durableId="810096341">
    <w:abstractNumId w:val="7"/>
  </w:num>
  <w:num w:numId="2" w16cid:durableId="1819688877">
    <w:abstractNumId w:val="5"/>
  </w:num>
  <w:num w:numId="3" w16cid:durableId="2030980730">
    <w:abstractNumId w:val="2"/>
  </w:num>
  <w:num w:numId="4" w16cid:durableId="1799300267">
    <w:abstractNumId w:val="0"/>
  </w:num>
  <w:num w:numId="5" w16cid:durableId="1451319615">
    <w:abstractNumId w:val="4"/>
  </w:num>
  <w:num w:numId="6" w16cid:durableId="115876418">
    <w:abstractNumId w:val="6"/>
  </w:num>
  <w:num w:numId="7" w16cid:durableId="99957279">
    <w:abstractNumId w:val="3"/>
  </w:num>
  <w:num w:numId="8" w16cid:durableId="443891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B74"/>
    <w:rsid w:val="00000CD9"/>
    <w:rsid w:val="00003D22"/>
    <w:rsid w:val="00016934"/>
    <w:rsid w:val="00027C18"/>
    <w:rsid w:val="00047677"/>
    <w:rsid w:val="00074EDF"/>
    <w:rsid w:val="00075753"/>
    <w:rsid w:val="000A32E8"/>
    <w:rsid w:val="000B07D1"/>
    <w:rsid w:val="000B3B4F"/>
    <w:rsid w:val="000B6736"/>
    <w:rsid w:val="000C5E59"/>
    <w:rsid w:val="000E03F2"/>
    <w:rsid w:val="000E7479"/>
    <w:rsid w:val="000F0FBC"/>
    <w:rsid w:val="000F498E"/>
    <w:rsid w:val="00120392"/>
    <w:rsid w:val="001277B7"/>
    <w:rsid w:val="00136BA9"/>
    <w:rsid w:val="001409C3"/>
    <w:rsid w:val="001744A4"/>
    <w:rsid w:val="001B247F"/>
    <w:rsid w:val="001B4CBA"/>
    <w:rsid w:val="001C1175"/>
    <w:rsid w:val="001C6B5C"/>
    <w:rsid w:val="001E4876"/>
    <w:rsid w:val="002036DE"/>
    <w:rsid w:val="00210067"/>
    <w:rsid w:val="00270177"/>
    <w:rsid w:val="00281CB8"/>
    <w:rsid w:val="002914A3"/>
    <w:rsid w:val="002A0CB7"/>
    <w:rsid w:val="002B238C"/>
    <w:rsid w:val="002B2ED0"/>
    <w:rsid w:val="002D0F9A"/>
    <w:rsid w:val="002D4067"/>
    <w:rsid w:val="003337DA"/>
    <w:rsid w:val="003725E8"/>
    <w:rsid w:val="0037ED8F"/>
    <w:rsid w:val="00395F81"/>
    <w:rsid w:val="003A3FCE"/>
    <w:rsid w:val="003A6F03"/>
    <w:rsid w:val="003A7B71"/>
    <w:rsid w:val="003B07C6"/>
    <w:rsid w:val="003B0940"/>
    <w:rsid w:val="003D519F"/>
    <w:rsid w:val="003E085B"/>
    <w:rsid w:val="003F1B01"/>
    <w:rsid w:val="00405996"/>
    <w:rsid w:val="004205DE"/>
    <w:rsid w:val="00422796"/>
    <w:rsid w:val="00423CB3"/>
    <w:rsid w:val="004251B6"/>
    <w:rsid w:val="00434DD8"/>
    <w:rsid w:val="004436BE"/>
    <w:rsid w:val="00457D12"/>
    <w:rsid w:val="00498727"/>
    <w:rsid w:val="004A5B1A"/>
    <w:rsid w:val="004C0C62"/>
    <w:rsid w:val="004E4520"/>
    <w:rsid w:val="004F1060"/>
    <w:rsid w:val="004F60F7"/>
    <w:rsid w:val="00535865"/>
    <w:rsid w:val="00556932"/>
    <w:rsid w:val="00563189"/>
    <w:rsid w:val="005830E2"/>
    <w:rsid w:val="00591EC0"/>
    <w:rsid w:val="005B486C"/>
    <w:rsid w:val="00622551"/>
    <w:rsid w:val="00623BA9"/>
    <w:rsid w:val="00660C70"/>
    <w:rsid w:val="0067340C"/>
    <w:rsid w:val="006F6880"/>
    <w:rsid w:val="00702BC8"/>
    <w:rsid w:val="00724D30"/>
    <w:rsid w:val="00772757"/>
    <w:rsid w:val="00787B5C"/>
    <w:rsid w:val="007B75C6"/>
    <w:rsid w:val="007C1835"/>
    <w:rsid w:val="007D5130"/>
    <w:rsid w:val="007D5150"/>
    <w:rsid w:val="007E36BE"/>
    <w:rsid w:val="007F0ECC"/>
    <w:rsid w:val="007F779B"/>
    <w:rsid w:val="008016C7"/>
    <w:rsid w:val="00802E35"/>
    <w:rsid w:val="00820129"/>
    <w:rsid w:val="00823C77"/>
    <w:rsid w:val="008243F4"/>
    <w:rsid w:val="00866C0B"/>
    <w:rsid w:val="008816CC"/>
    <w:rsid w:val="008C1D60"/>
    <w:rsid w:val="008C682D"/>
    <w:rsid w:val="008D2D7E"/>
    <w:rsid w:val="008E6B79"/>
    <w:rsid w:val="008F0AFE"/>
    <w:rsid w:val="009034A8"/>
    <w:rsid w:val="00907174"/>
    <w:rsid w:val="00911117"/>
    <w:rsid w:val="00911684"/>
    <w:rsid w:val="00920F64"/>
    <w:rsid w:val="00962AD5"/>
    <w:rsid w:val="00963CAE"/>
    <w:rsid w:val="009A5784"/>
    <w:rsid w:val="009EF624"/>
    <w:rsid w:val="009F74F9"/>
    <w:rsid w:val="00A10791"/>
    <w:rsid w:val="00A16C91"/>
    <w:rsid w:val="00A34294"/>
    <w:rsid w:val="00A3582F"/>
    <w:rsid w:val="00A376AD"/>
    <w:rsid w:val="00A539F1"/>
    <w:rsid w:val="00A561C0"/>
    <w:rsid w:val="00A6151C"/>
    <w:rsid w:val="00A73C66"/>
    <w:rsid w:val="00AE79C8"/>
    <w:rsid w:val="00B6145B"/>
    <w:rsid w:val="00B718CB"/>
    <w:rsid w:val="00BB7311"/>
    <w:rsid w:val="00BD62F0"/>
    <w:rsid w:val="00BF6D81"/>
    <w:rsid w:val="00C30CA2"/>
    <w:rsid w:val="00C421D3"/>
    <w:rsid w:val="00C50E37"/>
    <w:rsid w:val="00C75C7B"/>
    <w:rsid w:val="00CB55EB"/>
    <w:rsid w:val="00CD08C9"/>
    <w:rsid w:val="00CD7EC6"/>
    <w:rsid w:val="00CDB96F"/>
    <w:rsid w:val="00CE4D7F"/>
    <w:rsid w:val="00D24CC7"/>
    <w:rsid w:val="00D254D4"/>
    <w:rsid w:val="00D26980"/>
    <w:rsid w:val="00D27131"/>
    <w:rsid w:val="00D41AB1"/>
    <w:rsid w:val="00D52F55"/>
    <w:rsid w:val="00D73143"/>
    <w:rsid w:val="00DC4351"/>
    <w:rsid w:val="00DF4B35"/>
    <w:rsid w:val="00E014B2"/>
    <w:rsid w:val="00E2623E"/>
    <w:rsid w:val="00E2647B"/>
    <w:rsid w:val="00E322DD"/>
    <w:rsid w:val="00E552B1"/>
    <w:rsid w:val="00E60098"/>
    <w:rsid w:val="00E61FEB"/>
    <w:rsid w:val="00E815D2"/>
    <w:rsid w:val="00E83D08"/>
    <w:rsid w:val="00E94B74"/>
    <w:rsid w:val="00EB3ACD"/>
    <w:rsid w:val="00EC1BCD"/>
    <w:rsid w:val="00ED18B6"/>
    <w:rsid w:val="00ED3F79"/>
    <w:rsid w:val="00ED45A2"/>
    <w:rsid w:val="00EF52DB"/>
    <w:rsid w:val="00F0581C"/>
    <w:rsid w:val="00F16BD0"/>
    <w:rsid w:val="00F2394F"/>
    <w:rsid w:val="00F30780"/>
    <w:rsid w:val="00F401F6"/>
    <w:rsid w:val="00F43D71"/>
    <w:rsid w:val="00F501FF"/>
    <w:rsid w:val="00F615D1"/>
    <w:rsid w:val="00F91224"/>
    <w:rsid w:val="00FB352E"/>
    <w:rsid w:val="00FB6390"/>
    <w:rsid w:val="00FB63E5"/>
    <w:rsid w:val="00FC4CE6"/>
    <w:rsid w:val="00FC7633"/>
    <w:rsid w:val="00FE67FC"/>
    <w:rsid w:val="00FF7286"/>
    <w:rsid w:val="00FF7930"/>
    <w:rsid w:val="0311B789"/>
    <w:rsid w:val="0345F632"/>
    <w:rsid w:val="0439A813"/>
    <w:rsid w:val="04E123B7"/>
    <w:rsid w:val="04FD7DDA"/>
    <w:rsid w:val="050CFF34"/>
    <w:rsid w:val="0523FBFD"/>
    <w:rsid w:val="05B189B1"/>
    <w:rsid w:val="05C7ED26"/>
    <w:rsid w:val="05E7C63C"/>
    <w:rsid w:val="060AA53C"/>
    <w:rsid w:val="06AE9464"/>
    <w:rsid w:val="080673C7"/>
    <w:rsid w:val="08264BE1"/>
    <w:rsid w:val="08351E9C"/>
    <w:rsid w:val="0935E529"/>
    <w:rsid w:val="09B794CA"/>
    <w:rsid w:val="0A2362E9"/>
    <w:rsid w:val="0A906C5D"/>
    <w:rsid w:val="0AD0FED5"/>
    <w:rsid w:val="0B04797C"/>
    <w:rsid w:val="0B2D4FA4"/>
    <w:rsid w:val="0B3DD76D"/>
    <w:rsid w:val="0B6CBF5E"/>
    <w:rsid w:val="0B9A2226"/>
    <w:rsid w:val="0BC45C82"/>
    <w:rsid w:val="0BFE195E"/>
    <w:rsid w:val="0D1E5E1D"/>
    <w:rsid w:val="0D332F61"/>
    <w:rsid w:val="0D825393"/>
    <w:rsid w:val="0DD462B3"/>
    <w:rsid w:val="0E1AAE00"/>
    <w:rsid w:val="0E1FD339"/>
    <w:rsid w:val="0EA5EF6B"/>
    <w:rsid w:val="0ECA1470"/>
    <w:rsid w:val="0F0BC549"/>
    <w:rsid w:val="0F55E1A6"/>
    <w:rsid w:val="0FE5DD37"/>
    <w:rsid w:val="1023C1D6"/>
    <w:rsid w:val="102C1C76"/>
    <w:rsid w:val="1042FD44"/>
    <w:rsid w:val="1049991C"/>
    <w:rsid w:val="105C25A1"/>
    <w:rsid w:val="110FB3E6"/>
    <w:rsid w:val="11473EE0"/>
    <w:rsid w:val="11F1CF40"/>
    <w:rsid w:val="122F816D"/>
    <w:rsid w:val="123B8B8C"/>
    <w:rsid w:val="128EC899"/>
    <w:rsid w:val="1294B1AF"/>
    <w:rsid w:val="12C518DC"/>
    <w:rsid w:val="13454EB3"/>
    <w:rsid w:val="134FF07B"/>
    <w:rsid w:val="13575BC7"/>
    <w:rsid w:val="138B80F9"/>
    <w:rsid w:val="138D9FA1"/>
    <w:rsid w:val="13D57C94"/>
    <w:rsid w:val="13E79A49"/>
    <w:rsid w:val="146D5AF8"/>
    <w:rsid w:val="14998310"/>
    <w:rsid w:val="14D19D15"/>
    <w:rsid w:val="1525B3BA"/>
    <w:rsid w:val="15699E23"/>
    <w:rsid w:val="15DAC2A0"/>
    <w:rsid w:val="1604760A"/>
    <w:rsid w:val="16057695"/>
    <w:rsid w:val="167CEF75"/>
    <w:rsid w:val="16B23EC8"/>
    <w:rsid w:val="16C54063"/>
    <w:rsid w:val="17005142"/>
    <w:rsid w:val="17A146F6"/>
    <w:rsid w:val="1823474E"/>
    <w:rsid w:val="18F1BD8B"/>
    <w:rsid w:val="196D3D31"/>
    <w:rsid w:val="1978A240"/>
    <w:rsid w:val="197F7E45"/>
    <w:rsid w:val="19BA20A9"/>
    <w:rsid w:val="1AD59C62"/>
    <w:rsid w:val="1AF2CECB"/>
    <w:rsid w:val="1B9F40AC"/>
    <w:rsid w:val="1BAEFB3F"/>
    <w:rsid w:val="1BB7D86C"/>
    <w:rsid w:val="1BC0F443"/>
    <w:rsid w:val="1BE7CAA7"/>
    <w:rsid w:val="1C102649"/>
    <w:rsid w:val="1C2372CE"/>
    <w:rsid w:val="1C2635D1"/>
    <w:rsid w:val="1C445561"/>
    <w:rsid w:val="1C7972DE"/>
    <w:rsid w:val="1D059024"/>
    <w:rsid w:val="1D106D0F"/>
    <w:rsid w:val="1D34E295"/>
    <w:rsid w:val="1D548FE9"/>
    <w:rsid w:val="1E61A56C"/>
    <w:rsid w:val="1E720126"/>
    <w:rsid w:val="1EE5351C"/>
    <w:rsid w:val="1EFADD20"/>
    <w:rsid w:val="1F6B1256"/>
    <w:rsid w:val="1F8C5D14"/>
    <w:rsid w:val="1FA0749B"/>
    <w:rsid w:val="1FBAA3A4"/>
    <w:rsid w:val="201D1D43"/>
    <w:rsid w:val="212E94D0"/>
    <w:rsid w:val="2148E7F2"/>
    <w:rsid w:val="21B54BAD"/>
    <w:rsid w:val="21CB797D"/>
    <w:rsid w:val="21D08139"/>
    <w:rsid w:val="221563A8"/>
    <w:rsid w:val="224BB61D"/>
    <w:rsid w:val="225B9DE3"/>
    <w:rsid w:val="2340DD04"/>
    <w:rsid w:val="2411B781"/>
    <w:rsid w:val="243F67D3"/>
    <w:rsid w:val="2446A5DA"/>
    <w:rsid w:val="248088B4"/>
    <w:rsid w:val="254F2BB8"/>
    <w:rsid w:val="2574AD97"/>
    <w:rsid w:val="25A81C58"/>
    <w:rsid w:val="26205524"/>
    <w:rsid w:val="266F6670"/>
    <w:rsid w:val="26AABFC9"/>
    <w:rsid w:val="2704E5F7"/>
    <w:rsid w:val="287D0F81"/>
    <w:rsid w:val="28B5F7CC"/>
    <w:rsid w:val="292AC5EF"/>
    <w:rsid w:val="2949E19E"/>
    <w:rsid w:val="29503B31"/>
    <w:rsid w:val="296309FB"/>
    <w:rsid w:val="29FF569C"/>
    <w:rsid w:val="2A24F577"/>
    <w:rsid w:val="2A36259A"/>
    <w:rsid w:val="2A74ED1D"/>
    <w:rsid w:val="2AAADF09"/>
    <w:rsid w:val="2ADB428F"/>
    <w:rsid w:val="2B2A0C20"/>
    <w:rsid w:val="2B8CB49A"/>
    <w:rsid w:val="2BA9AA51"/>
    <w:rsid w:val="2BC9A618"/>
    <w:rsid w:val="2C6266B1"/>
    <w:rsid w:val="2CE74A39"/>
    <w:rsid w:val="2D4AA546"/>
    <w:rsid w:val="2D4D9DD0"/>
    <w:rsid w:val="2D8228F5"/>
    <w:rsid w:val="2D8C8B41"/>
    <w:rsid w:val="2DF575A6"/>
    <w:rsid w:val="2DFFF6D1"/>
    <w:rsid w:val="2E004134"/>
    <w:rsid w:val="2E1D52C1"/>
    <w:rsid w:val="2E9112A8"/>
    <w:rsid w:val="2EE14B13"/>
    <w:rsid w:val="2F537CD2"/>
    <w:rsid w:val="2F7E502C"/>
    <w:rsid w:val="2F9A0773"/>
    <w:rsid w:val="30947CB9"/>
    <w:rsid w:val="309F6CEB"/>
    <w:rsid w:val="30B6FE4E"/>
    <w:rsid w:val="31ABFA2A"/>
    <w:rsid w:val="31D158F3"/>
    <w:rsid w:val="31EBDCF5"/>
    <w:rsid w:val="3222F503"/>
    <w:rsid w:val="326F884D"/>
    <w:rsid w:val="32D41051"/>
    <w:rsid w:val="32F0C3E4"/>
    <w:rsid w:val="332FE1D0"/>
    <w:rsid w:val="339B93D9"/>
    <w:rsid w:val="33B43434"/>
    <w:rsid w:val="34E27C71"/>
    <w:rsid w:val="34F3FB87"/>
    <w:rsid w:val="350CA774"/>
    <w:rsid w:val="35594E03"/>
    <w:rsid w:val="358A6F71"/>
    <w:rsid w:val="35B0871F"/>
    <w:rsid w:val="3630522C"/>
    <w:rsid w:val="36EC5CF8"/>
    <w:rsid w:val="374606FC"/>
    <w:rsid w:val="37CC228D"/>
    <w:rsid w:val="37E5F312"/>
    <w:rsid w:val="37F9EAA4"/>
    <w:rsid w:val="38366083"/>
    <w:rsid w:val="38620FB9"/>
    <w:rsid w:val="3870ECC6"/>
    <w:rsid w:val="38A76125"/>
    <w:rsid w:val="38FDCE6A"/>
    <w:rsid w:val="3905C4DA"/>
    <w:rsid w:val="3913F79B"/>
    <w:rsid w:val="39421B41"/>
    <w:rsid w:val="398839A8"/>
    <w:rsid w:val="3996A784"/>
    <w:rsid w:val="39EC50FD"/>
    <w:rsid w:val="3A0CBD27"/>
    <w:rsid w:val="3A2BE251"/>
    <w:rsid w:val="3AB397D5"/>
    <w:rsid w:val="3AB8CC8D"/>
    <w:rsid w:val="3ABB63F6"/>
    <w:rsid w:val="3AD3F8AE"/>
    <w:rsid w:val="3AD7B134"/>
    <w:rsid w:val="3B16F097"/>
    <w:rsid w:val="3B3071F9"/>
    <w:rsid w:val="3B854B92"/>
    <w:rsid w:val="3BA6A5BE"/>
    <w:rsid w:val="3BC88F87"/>
    <w:rsid w:val="3C002AAC"/>
    <w:rsid w:val="3C4D2AFD"/>
    <w:rsid w:val="3C60759B"/>
    <w:rsid w:val="3CA5ED43"/>
    <w:rsid w:val="3D7A2E46"/>
    <w:rsid w:val="3D843813"/>
    <w:rsid w:val="3D91FE08"/>
    <w:rsid w:val="3D9BFB0D"/>
    <w:rsid w:val="3E3B812F"/>
    <w:rsid w:val="3EB2631A"/>
    <w:rsid w:val="3EC967D5"/>
    <w:rsid w:val="3F003049"/>
    <w:rsid w:val="3F250A56"/>
    <w:rsid w:val="3F4CD83F"/>
    <w:rsid w:val="3F929AE1"/>
    <w:rsid w:val="3FA15882"/>
    <w:rsid w:val="3FC496FE"/>
    <w:rsid w:val="3FD17D8E"/>
    <w:rsid w:val="3FDF5FF3"/>
    <w:rsid w:val="407BBDC4"/>
    <w:rsid w:val="4096C752"/>
    <w:rsid w:val="40B1CF08"/>
    <w:rsid w:val="414656AA"/>
    <w:rsid w:val="414EC861"/>
    <w:rsid w:val="418396C3"/>
    <w:rsid w:val="41996C59"/>
    <w:rsid w:val="421DD4C8"/>
    <w:rsid w:val="42666DB2"/>
    <w:rsid w:val="42939E3F"/>
    <w:rsid w:val="42DA11D9"/>
    <w:rsid w:val="438261ED"/>
    <w:rsid w:val="43B3A368"/>
    <w:rsid w:val="4474C9A5"/>
    <w:rsid w:val="44AE3C02"/>
    <w:rsid w:val="44BE2BE2"/>
    <w:rsid w:val="450118C8"/>
    <w:rsid w:val="452C6E89"/>
    <w:rsid w:val="452F3C81"/>
    <w:rsid w:val="454A6D35"/>
    <w:rsid w:val="45967B02"/>
    <w:rsid w:val="45ED1689"/>
    <w:rsid w:val="46223984"/>
    <w:rsid w:val="462C9426"/>
    <w:rsid w:val="465A9427"/>
    <w:rsid w:val="465E2206"/>
    <w:rsid w:val="466F2A4D"/>
    <w:rsid w:val="46711598"/>
    <w:rsid w:val="46EB5CD5"/>
    <w:rsid w:val="473A38E9"/>
    <w:rsid w:val="474A8305"/>
    <w:rsid w:val="47AC6A67"/>
    <w:rsid w:val="47BDD492"/>
    <w:rsid w:val="48253E1F"/>
    <w:rsid w:val="48260E56"/>
    <w:rsid w:val="48983FD4"/>
    <w:rsid w:val="49483AC8"/>
    <w:rsid w:val="49590E8F"/>
    <w:rsid w:val="4961EF66"/>
    <w:rsid w:val="49AF2ACA"/>
    <w:rsid w:val="49D234D5"/>
    <w:rsid w:val="4A04B5FB"/>
    <w:rsid w:val="4A28E6AD"/>
    <w:rsid w:val="4A30F651"/>
    <w:rsid w:val="4A7BB72A"/>
    <w:rsid w:val="4B508935"/>
    <w:rsid w:val="4B6B5B3A"/>
    <w:rsid w:val="4B71695F"/>
    <w:rsid w:val="4B84C58B"/>
    <w:rsid w:val="4BEF288D"/>
    <w:rsid w:val="4C3E3DFB"/>
    <w:rsid w:val="4C7FDB8A"/>
    <w:rsid w:val="4CC24366"/>
    <w:rsid w:val="4D60876F"/>
    <w:rsid w:val="4D827138"/>
    <w:rsid w:val="4D9A6A49"/>
    <w:rsid w:val="4E17E946"/>
    <w:rsid w:val="4EAD1F7F"/>
    <w:rsid w:val="4EC8A707"/>
    <w:rsid w:val="4F05193C"/>
    <w:rsid w:val="4FD130EA"/>
    <w:rsid w:val="4FFE1B7F"/>
    <w:rsid w:val="50252B00"/>
    <w:rsid w:val="5028F90F"/>
    <w:rsid w:val="50A0E99D"/>
    <w:rsid w:val="50E800D4"/>
    <w:rsid w:val="522CEA15"/>
    <w:rsid w:val="52787FDE"/>
    <w:rsid w:val="53061F16"/>
    <w:rsid w:val="531BB203"/>
    <w:rsid w:val="531D71AC"/>
    <w:rsid w:val="5323F755"/>
    <w:rsid w:val="53A147D6"/>
    <w:rsid w:val="53FF9394"/>
    <w:rsid w:val="540E712A"/>
    <w:rsid w:val="541830F7"/>
    <w:rsid w:val="5434A219"/>
    <w:rsid w:val="548CC4F2"/>
    <w:rsid w:val="54A45DCD"/>
    <w:rsid w:val="54AB0B49"/>
    <w:rsid w:val="55065405"/>
    <w:rsid w:val="556B9954"/>
    <w:rsid w:val="558E3525"/>
    <w:rsid w:val="55AED512"/>
    <w:rsid w:val="55D0727A"/>
    <w:rsid w:val="55E36E7B"/>
    <w:rsid w:val="56223837"/>
    <w:rsid w:val="56576EC1"/>
    <w:rsid w:val="567E50E0"/>
    <w:rsid w:val="56BCC4CF"/>
    <w:rsid w:val="56FB32C0"/>
    <w:rsid w:val="57366F02"/>
    <w:rsid w:val="576C42DB"/>
    <w:rsid w:val="5806E271"/>
    <w:rsid w:val="580C7F2A"/>
    <w:rsid w:val="587F0964"/>
    <w:rsid w:val="5892A14F"/>
    <w:rsid w:val="5898FA5A"/>
    <w:rsid w:val="58D304B7"/>
    <w:rsid w:val="5A10D106"/>
    <w:rsid w:val="5A340222"/>
    <w:rsid w:val="5A3F0A77"/>
    <w:rsid w:val="5A9254D8"/>
    <w:rsid w:val="5B7C0DE4"/>
    <w:rsid w:val="5BDADAD8"/>
    <w:rsid w:val="5C10FF0C"/>
    <w:rsid w:val="5C6077BE"/>
    <w:rsid w:val="5C8861BE"/>
    <w:rsid w:val="5CA1AD94"/>
    <w:rsid w:val="5D0482AA"/>
    <w:rsid w:val="5D89B6F5"/>
    <w:rsid w:val="5D8A4E88"/>
    <w:rsid w:val="5EC4FA7B"/>
    <w:rsid w:val="5F106072"/>
    <w:rsid w:val="5F3CE2C9"/>
    <w:rsid w:val="5F4334C4"/>
    <w:rsid w:val="5F873CCE"/>
    <w:rsid w:val="5FC4389F"/>
    <w:rsid w:val="5FEEB6C6"/>
    <w:rsid w:val="60B70D67"/>
    <w:rsid w:val="60D30287"/>
    <w:rsid w:val="60EDDE2B"/>
    <w:rsid w:val="616AFC73"/>
    <w:rsid w:val="6182FD7B"/>
    <w:rsid w:val="619F4433"/>
    <w:rsid w:val="61AAD05A"/>
    <w:rsid w:val="626720E4"/>
    <w:rsid w:val="628783A4"/>
    <w:rsid w:val="6293A558"/>
    <w:rsid w:val="62C261EE"/>
    <w:rsid w:val="62CB90CF"/>
    <w:rsid w:val="6305A57F"/>
    <w:rsid w:val="6344B2B9"/>
    <w:rsid w:val="639C8D53"/>
    <w:rsid w:val="64676130"/>
    <w:rsid w:val="6469C979"/>
    <w:rsid w:val="64B245C8"/>
    <w:rsid w:val="65014C9C"/>
    <w:rsid w:val="65044F52"/>
    <w:rsid w:val="651BBEC5"/>
    <w:rsid w:val="65802266"/>
    <w:rsid w:val="658FC245"/>
    <w:rsid w:val="66033191"/>
    <w:rsid w:val="6625FD8D"/>
    <w:rsid w:val="6705E732"/>
    <w:rsid w:val="67E922E5"/>
    <w:rsid w:val="684774A6"/>
    <w:rsid w:val="686005B8"/>
    <w:rsid w:val="688D9578"/>
    <w:rsid w:val="68F8344C"/>
    <w:rsid w:val="691FCA9D"/>
    <w:rsid w:val="6921A9F6"/>
    <w:rsid w:val="6956FDA8"/>
    <w:rsid w:val="696D712A"/>
    <w:rsid w:val="6993F4F9"/>
    <w:rsid w:val="69A70F84"/>
    <w:rsid w:val="69BF44FC"/>
    <w:rsid w:val="6A41DD9D"/>
    <w:rsid w:val="6A4F1CF2"/>
    <w:rsid w:val="6AA76ACF"/>
    <w:rsid w:val="6BB65D82"/>
    <w:rsid w:val="6BEB7994"/>
    <w:rsid w:val="6C20BC6B"/>
    <w:rsid w:val="6C5EA78D"/>
    <w:rsid w:val="6CC34CC4"/>
    <w:rsid w:val="6CE63DC4"/>
    <w:rsid w:val="6CFF0750"/>
    <w:rsid w:val="6DD41F16"/>
    <w:rsid w:val="6E97343A"/>
    <w:rsid w:val="6EC9095F"/>
    <w:rsid w:val="6ED73A0F"/>
    <w:rsid w:val="6F883269"/>
    <w:rsid w:val="6FDF0948"/>
    <w:rsid w:val="6FF54E5B"/>
    <w:rsid w:val="6FFBF2FB"/>
    <w:rsid w:val="7094093F"/>
    <w:rsid w:val="70DACF31"/>
    <w:rsid w:val="717083DA"/>
    <w:rsid w:val="71A02E84"/>
    <w:rsid w:val="71AFB94D"/>
    <w:rsid w:val="7259764F"/>
    <w:rsid w:val="725ABB18"/>
    <w:rsid w:val="72AA2DFF"/>
    <w:rsid w:val="72DCEEE0"/>
    <w:rsid w:val="7310E222"/>
    <w:rsid w:val="73CAA31B"/>
    <w:rsid w:val="74E75A0F"/>
    <w:rsid w:val="74FB61A9"/>
    <w:rsid w:val="75AEFA7E"/>
    <w:rsid w:val="75D6986B"/>
    <w:rsid w:val="762AD699"/>
    <w:rsid w:val="7652C3DA"/>
    <w:rsid w:val="76563852"/>
    <w:rsid w:val="76598231"/>
    <w:rsid w:val="7690FBE2"/>
    <w:rsid w:val="76A2461F"/>
    <w:rsid w:val="77050ADA"/>
    <w:rsid w:val="7711DDAB"/>
    <w:rsid w:val="778FDE33"/>
    <w:rsid w:val="7817E714"/>
    <w:rsid w:val="783E1680"/>
    <w:rsid w:val="78460406"/>
    <w:rsid w:val="784C2AF5"/>
    <w:rsid w:val="789CC983"/>
    <w:rsid w:val="78B87F6B"/>
    <w:rsid w:val="790C45AC"/>
    <w:rsid w:val="79220A99"/>
    <w:rsid w:val="79E1D467"/>
    <w:rsid w:val="7A3C0FC4"/>
    <w:rsid w:val="7ADB8BA7"/>
    <w:rsid w:val="7B232911"/>
    <w:rsid w:val="7B4974B5"/>
    <w:rsid w:val="7B647C6B"/>
    <w:rsid w:val="7C4C9A61"/>
    <w:rsid w:val="7C6F9500"/>
    <w:rsid w:val="7CBFAB4A"/>
    <w:rsid w:val="7CD0822B"/>
    <w:rsid w:val="7CDE0469"/>
    <w:rsid w:val="7D1187A3"/>
    <w:rsid w:val="7DAA5EAA"/>
    <w:rsid w:val="7DDA7B0D"/>
    <w:rsid w:val="7E4B2106"/>
    <w:rsid w:val="7E6F9B1C"/>
    <w:rsid w:val="7EB1EBB1"/>
    <w:rsid w:val="7EDD5764"/>
    <w:rsid w:val="7F1CEF90"/>
    <w:rsid w:val="7F6156C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AB964"/>
  <w15:chartTrackingRefBased/>
  <w15:docId w15:val="{73182B2B-3F9C-4EE5-BBE5-BCFF7B4C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4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4B74"/>
    <w:pPr>
      <w:ind w:left="720"/>
      <w:contextualSpacing/>
    </w:p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normaltextrun">
    <w:name w:val="normaltextrun"/>
    <w:basedOn w:val="DefaultParagraphFont"/>
    <w:rsid w:val="004F1060"/>
  </w:style>
  <w:style w:type="paragraph" w:styleId="Header">
    <w:name w:val="header"/>
    <w:basedOn w:val="Normal"/>
    <w:link w:val="HeaderChar"/>
    <w:uiPriority w:val="99"/>
    <w:unhideWhenUsed/>
    <w:rsid w:val="004436BE"/>
    <w:pPr>
      <w:tabs>
        <w:tab w:val="center" w:pos="4153"/>
        <w:tab w:val="right" w:pos="8306"/>
      </w:tabs>
      <w:spacing w:after="0" w:line="240" w:lineRule="auto"/>
    </w:pPr>
  </w:style>
  <w:style w:type="character" w:customStyle="1" w:styleId="HeaderChar">
    <w:name w:val="Header Char"/>
    <w:basedOn w:val="DefaultParagraphFont"/>
    <w:link w:val="Header"/>
    <w:uiPriority w:val="99"/>
    <w:rsid w:val="004436BE"/>
  </w:style>
  <w:style w:type="paragraph" w:styleId="Footer">
    <w:name w:val="footer"/>
    <w:basedOn w:val="Normal"/>
    <w:link w:val="FooterChar"/>
    <w:uiPriority w:val="99"/>
    <w:unhideWhenUsed/>
    <w:rsid w:val="004436BE"/>
    <w:pPr>
      <w:tabs>
        <w:tab w:val="center" w:pos="4153"/>
        <w:tab w:val="right" w:pos="8306"/>
      </w:tabs>
      <w:spacing w:after="0" w:line="240" w:lineRule="auto"/>
    </w:pPr>
  </w:style>
  <w:style w:type="character" w:customStyle="1" w:styleId="FooterChar">
    <w:name w:val="Footer Char"/>
    <w:basedOn w:val="DefaultParagraphFont"/>
    <w:link w:val="Footer"/>
    <w:uiPriority w:val="99"/>
    <w:rsid w:val="004436BE"/>
  </w:style>
  <w:style w:type="paragraph" w:styleId="Revision">
    <w:name w:val="Revision"/>
    <w:hidden/>
    <w:uiPriority w:val="99"/>
    <w:semiHidden/>
    <w:rsid w:val="00535865"/>
    <w:pPr>
      <w:spacing w:after="0" w:line="240" w:lineRule="auto"/>
    </w:pPr>
  </w:style>
  <w:style w:type="paragraph" w:styleId="NormalWeb">
    <w:name w:val="Normal (Web)"/>
    <w:basedOn w:val="Normal"/>
    <w:uiPriority w:val="99"/>
    <w:unhideWhenUsed/>
    <w:rsid w:val="00074EDF"/>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57289">
      <w:bodyDiv w:val="1"/>
      <w:marLeft w:val="0"/>
      <w:marRight w:val="0"/>
      <w:marTop w:val="0"/>
      <w:marBottom w:val="0"/>
      <w:divBdr>
        <w:top w:val="none" w:sz="0" w:space="0" w:color="auto"/>
        <w:left w:val="none" w:sz="0" w:space="0" w:color="auto"/>
        <w:bottom w:val="none" w:sz="0" w:space="0" w:color="auto"/>
        <w:right w:val="none" w:sz="0" w:space="0" w:color="auto"/>
      </w:divBdr>
    </w:div>
    <w:div w:id="878905446">
      <w:bodyDiv w:val="1"/>
      <w:marLeft w:val="0"/>
      <w:marRight w:val="0"/>
      <w:marTop w:val="0"/>
      <w:marBottom w:val="0"/>
      <w:divBdr>
        <w:top w:val="none" w:sz="0" w:space="0" w:color="auto"/>
        <w:left w:val="none" w:sz="0" w:space="0" w:color="auto"/>
        <w:bottom w:val="none" w:sz="0" w:space="0" w:color="auto"/>
        <w:right w:val="none" w:sz="0" w:space="0" w:color="auto"/>
      </w:divBdr>
    </w:div>
    <w:div w:id="1429304855">
      <w:bodyDiv w:val="1"/>
      <w:marLeft w:val="0"/>
      <w:marRight w:val="0"/>
      <w:marTop w:val="0"/>
      <w:marBottom w:val="0"/>
      <w:divBdr>
        <w:top w:val="none" w:sz="0" w:space="0" w:color="auto"/>
        <w:left w:val="none" w:sz="0" w:space="0" w:color="auto"/>
        <w:bottom w:val="none" w:sz="0" w:space="0" w:color="auto"/>
        <w:right w:val="none" w:sz="0" w:space="0" w:color="auto"/>
      </w:divBdr>
    </w:div>
    <w:div w:id="145386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likumi.lv/ta/id/332048"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FF7FF4CE8F23AD479625CD1944090FCE" ma:contentTypeVersion="17" ma:contentTypeDescription="Izveidot jaunu dokumentu." ma:contentTypeScope="" ma:versionID="1036b7a5de659f65beb60f5d7cbfe09f">
  <xsd:schema xmlns:xsd="http://www.w3.org/2001/XMLSchema" xmlns:xs="http://www.w3.org/2001/XMLSchema" xmlns:p="http://schemas.microsoft.com/office/2006/metadata/properties" xmlns:ns2="f0b88597-d61d-40af-b51d-b9fc1daff5c4" xmlns:ns3="4c658030-e0ed-4fb3-bb1e-02b1deb1b711" targetNamespace="http://schemas.microsoft.com/office/2006/metadata/properties" ma:root="true" ma:fieldsID="109d185bbc8888172c0a08e31fc00796" ns2:_="" ns3:_="">
    <xsd:import namespace="f0b88597-d61d-40af-b51d-b9fc1daff5c4"/>
    <xsd:import namespace="4c658030-e0ed-4fb3-bb1e-02b1deb1b7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b88597-d61d-40af-b51d-b9fc1daff5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ttēlu atzīmes" ma:readOnly="false" ma:fieldId="{5cf76f15-5ced-4ddc-b409-7134ff3c332f}" ma:taxonomyMulti="true" ma:sspId="d1a90a10-e7d1-4005-86b4-60bf3e14a0f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658030-e0ed-4fb3-bb1e-02b1deb1b711" elementFormDefault="qualified">
    <xsd:import namespace="http://schemas.microsoft.com/office/2006/documentManagement/types"/>
    <xsd:import namespace="http://schemas.microsoft.com/office/infopath/2007/PartnerControls"/>
    <xsd:element name="SharedWithUsers" ma:index="14"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Koplietots ar: detalizēti" ma:internalName="SharedWithDetails" ma:readOnly="true">
      <xsd:simpleType>
        <xsd:restriction base="dms:Note">
          <xsd:maxLength value="255"/>
        </xsd:restriction>
      </xsd:simpleType>
    </xsd:element>
    <xsd:element name="TaxCatchAll" ma:index="22" nillable="true" ma:displayName="Taxonomy Catch All Column" ma:hidden="true" ma:list="{0ff8b82c-8e62-46cb-8f15-27bf3acb7646}" ma:internalName="TaxCatchAll" ma:showField="CatchAllData" ma:web="4c658030-e0ed-4fb3-bb1e-02b1deb1b7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b88597-d61d-40af-b51d-b9fc1daff5c4">
      <Terms xmlns="http://schemas.microsoft.com/office/infopath/2007/PartnerControls"/>
    </lcf76f155ced4ddcb4097134ff3c332f>
    <TaxCatchAll xmlns="4c658030-e0ed-4fb3-bb1e-02b1deb1b711" xsi:nil="true"/>
    <SharedWithUsers xmlns="4c658030-e0ed-4fb3-bb1e-02b1deb1b711">
      <UserInfo>
        <DisplayName>Dace Eihenbauma</DisplayName>
        <AccountId>46</AccountId>
        <AccountType/>
      </UserInfo>
      <UserInfo>
        <DisplayName>Dace Pastva</DisplayName>
        <AccountId>78</AccountId>
        <AccountType/>
      </UserInfo>
      <UserInfo>
        <DisplayName>Līva Biseniece</DisplayName>
        <AccountId>79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AAEB8-5FF1-40AA-B61D-0B0175191201}">
  <ds:schemaRefs>
    <ds:schemaRef ds:uri="http://schemas.microsoft.com/sharepoint/v3/contenttype/forms"/>
  </ds:schemaRefs>
</ds:datastoreItem>
</file>

<file path=customXml/itemProps2.xml><?xml version="1.0" encoding="utf-8"?>
<ds:datastoreItem xmlns:ds="http://schemas.openxmlformats.org/officeDocument/2006/customXml" ds:itemID="{4AA7F71B-16B6-4B63-9AB0-84C3302D3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b88597-d61d-40af-b51d-b9fc1daff5c4"/>
    <ds:schemaRef ds:uri="4c658030-e0ed-4fb3-bb1e-02b1deb1b7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F7576B-FA83-4297-B348-3578CBDF9511}">
  <ds:schemaRefs>
    <ds:schemaRef ds:uri="http://schemas.microsoft.com/office/2006/metadata/properties"/>
    <ds:schemaRef ds:uri="http://schemas.microsoft.com/office/infopath/2007/PartnerControls"/>
    <ds:schemaRef ds:uri="f0b88597-d61d-40af-b51d-b9fc1daff5c4"/>
    <ds:schemaRef ds:uri="4c658030-e0ed-4fb3-bb1e-02b1deb1b711"/>
  </ds:schemaRefs>
</ds:datastoreItem>
</file>

<file path=customXml/itemProps4.xml><?xml version="1.0" encoding="utf-8"?>
<ds:datastoreItem xmlns:ds="http://schemas.openxmlformats.org/officeDocument/2006/customXml" ds:itemID="{0CDDF0F4-C308-4498-B90F-1BCD8A6DC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1310</Words>
  <Characters>7470</Characters>
  <Application>Microsoft Office Word</Application>
  <DocSecurity>0</DocSecurity>
  <Lines>62</Lines>
  <Paragraphs>17</Paragraphs>
  <ScaleCrop>false</ScaleCrop>
  <Company/>
  <LinksUpToDate>false</LinksUpToDate>
  <CharactersWithSpaces>8763</CharactersWithSpaces>
  <SharedDoc>false</SharedDoc>
  <HLinks>
    <vt:vector size="6" baseType="variant">
      <vt:variant>
        <vt:i4>3866680</vt:i4>
      </vt:variant>
      <vt:variant>
        <vt:i4>0</vt:i4>
      </vt:variant>
      <vt:variant>
        <vt:i4>0</vt:i4>
      </vt:variant>
      <vt:variant>
        <vt:i4>5</vt:i4>
      </vt:variant>
      <vt:variant>
        <vt:lpwstr>https://likumi.lv/ta/id/332048</vt:lpwstr>
      </vt:variant>
      <vt:variant>
        <vt:lpwstr>p2021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Līva Biseniece</dc:creator>
  <cp:keywords/>
  <dc:description/>
  <cp:lastModifiedBy>Dace Eihenbauma</cp:lastModifiedBy>
  <cp:revision>2</cp:revision>
  <cp:lastPrinted>2024-01-12T09:26:00Z</cp:lastPrinted>
  <dcterms:created xsi:type="dcterms:W3CDTF">2024-01-22T14:32:00Z</dcterms:created>
  <dcterms:modified xsi:type="dcterms:W3CDTF">2024-01-22T14:32:00Z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0x010100FF7FF4CE8F23AD479625CD1944090FCE</vt:lpwstr>
  </property>
  <property fmtid="{D5CDD505-2E9C-101B-9397-08002B2CF9AE}" pid="3" name="MediaServiceImageTags">
    <vt:lpwstr/>
  </property>
</Properties>
</file>